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extreme values or other statistically processed values of an individual ensemble forecast, control and perturbed, at a horizontal level or in a horizontal layer at a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fields that will be used in the local time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140: This represents the length of time over which the statistical processing was applied. The local time defined in section 1 represents the end of this processing. For instance, a value of 24 h corresponds to a statistical processing between the previous day at local time and this day at local time.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statistically processed fields used in the local time composite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141: This represents the number of statistically processed fields (or stripes) used to create the composite local time field. For instance, a value of 8 means that 8 statistically processed fields have been used in the processing, each of them representing a section of 45 degrees of longitude (360/8) centred around the UTC time corresponding to the local time.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Method used to derive the data field values at the local time specified in section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forecasts used to create the composite data field at the local time specified in section 1 (n &gt;=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144: This is the number of forecasts and time steps used to create the statistically processed fields. These implicitly have the same statistical process as defined in octet 30. If a forecast has 2 time increments (3 hourly day 1 to 5 then 6 hourly), it should be encoded as 2 forecasts with the same reference time, using the appropriate starting forecast time and time increments.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39-56 Specification of the forecast used in the processing (n 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152: The reference time in octets 39-45 and the forecast time together define the beginning of the overall time interval.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increments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time for the time increments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increments between successive forecast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145: This also represents the length of time range of the statistically processed fields. For instance, to create a 24 h accumulation (encoded in octets 32-35), we could use several 3 h accumulations, or 6 h accumulations, a mixture of the two, etc.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57-nn are included only if n &gt; 1 where nn = 38 + 18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repetitions of sequence of octets 39-56 describing the next analyses or forecasts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