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values of post-processing analysis or forecast at a horizontal level or in a horizontal layer at a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fields that will be used in the local time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140: This represents the length of time over which the statistical processing was applied. The local time defined in section 1 represents the end of this processing. For instance, a value of 24 h corresponds to a statistical processing between the previous day at local time and this day at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statistically processed fields used in the local time composite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141: This represents the number of statistically processed fields (or stripes) used to create the composite local time field. For instance, a value of 8 means that 8 statistically processed fields have been used in the processing, each of them representing a section of 45 degrees of longitude (360/8) centred around the UTC time corresponding to the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analyses or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146: This is the number of forecasts and time steps used to create the statistically processed fields. These implicitly have the same statistical process as defined in octet 32. If a forecast has 2 time increments (3 hourly day 1 to 5 then 6 hourly), it should be encoded as 2 forecasts with the same reference time, using the appropriate starting forecast time and time increments.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41-58 Specification of the analysis or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 (set to missing if analysis)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151: The reference time in octets 41-47 and the forecast time together define the beginning of the overall time interval. | 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147: This also represents the length of time range of the statistically processed fields. For instance, to create a 24 h accumulation (encoded in octets 34-37), we could use several 3 h accumulations, or 6 h accumulations, a mixture of the two, etc.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59-nn are included only if n &gt; 1 where nn = 40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41-58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