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Grid point data - CCSDS recommended lossless compression</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12-15</w:t>
            </w:r>
          </w:p>
        </w:tc>
        <w:tc>
          <w:tcPr>
            <w:tcW w:type="dxa" w:w="3028"/>
          </w:tcPr>
          <w:p>
            <w:r/>
            <w:r>
              <w:rPr>
                <w:rFonts w:ascii="Arial" w:hAnsi="Arial"/>
                <w:b w:val="0"/>
                <w:sz w:val="16"/>
              </w:rPr>
              <w:t>4</w:t>
            </w:r>
          </w:p>
        </w:tc>
        <w:tc>
          <w:tcPr>
            <w:tcW w:type="dxa" w:w="3028"/>
          </w:tcPr>
          <w:p>
            <w:r/>
            <w:r>
              <w:rPr>
                <w:rFonts w:ascii="Arial" w:hAnsi="Arial"/>
                <w:b w:val="0"/>
                <w:sz w:val="16"/>
              </w:rPr>
              <w:t>Reference value (R) (IEEE 32-bit floating-point value)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16-17</w:t>
            </w:r>
          </w:p>
        </w:tc>
        <w:tc>
          <w:tcPr>
            <w:tcW w:type="dxa" w:w="3028"/>
          </w:tcPr>
          <w:p>
            <w:r/>
            <w:r>
              <w:rPr>
                <w:rFonts w:ascii="Arial" w:hAnsi="Arial"/>
                <w:b w:val="0"/>
                <w:sz w:val="16"/>
              </w:rPr>
              <w:t>2</w:t>
            </w:r>
          </w:p>
        </w:tc>
        <w:tc>
          <w:tcPr>
            <w:tcW w:type="dxa" w:w="3028"/>
          </w:tcPr>
          <w:p>
            <w:r/>
            <w:r>
              <w:rPr>
                <w:rFonts w:ascii="Arial" w:hAnsi="Arial"/>
                <w:b w:val="0"/>
                <w:sz w:val="16"/>
              </w:rPr>
              <w:t>Binary scale factor (E)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18-19</w:t>
            </w:r>
          </w:p>
        </w:tc>
        <w:tc>
          <w:tcPr>
            <w:tcW w:type="dxa" w:w="3028"/>
          </w:tcPr>
          <w:p>
            <w:r/>
            <w:r>
              <w:rPr>
                <w:rFonts w:ascii="Arial" w:hAnsi="Arial"/>
                <w:b w:val="0"/>
                <w:sz w:val="16"/>
              </w:rPr>
              <w:t>2</w:t>
            </w:r>
          </w:p>
        </w:tc>
        <w:tc>
          <w:tcPr>
            <w:tcW w:type="dxa" w:w="3028"/>
          </w:tcPr>
          <w:p>
            <w:r/>
            <w:r>
              <w:rPr>
                <w:rFonts w:ascii="Arial" w:hAnsi="Arial"/>
                <w:b w:val="0"/>
                <w:sz w:val="16"/>
              </w:rPr>
              <w:t>Decimal scale factor (D)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Number of bits required to hold the resulting scaled and referenced data values</w:t>
            </w:r>
          </w:p>
        </w:tc>
        <w:tc>
          <w:tcPr>
            <w:tcW w:type="dxa" w:w="3028"/>
          </w:tcPr>
          <w:p>
            <w:r/>
            <w:r>
              <w:rPr>
                <w:rFonts w:ascii="Arial" w:hAnsi="Arial"/>
                <w:b w:val="0"/>
                <w:sz w:val="16"/>
              </w:rPr>
              <w:t>Note 83: The intent of this template is to scale the grid point data to obtain the desired precision, if appropriate, and then subtract the reference value from the scaled field, as is done using data representation template 5.0. After this, the resulting grid point field can be treated as a greyscale image and encoded into the CCSDS recommended standard for lossless data compression code stream format. To unpack the data field, the CCSDS recommended standard for lossless data compression code stream is decoded back into an image, and the original field is obtained from the image data as described in regulation 92.9.4, Note 4.</w:t>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Type of original field values</w:t>
            </w:r>
          </w:p>
        </w:tc>
        <w:tc>
          <w:tcPr>
            <w:tcW w:type="dxa" w:w="3028"/>
          </w:tcPr>
          <w:p>
            <w:r/>
            <w:r>
              <w:rPr>
                <w:rFonts w:ascii="Arial" w:hAnsi="Arial"/>
                <w:b w:val="0"/>
                <w:sz w:val="16"/>
              </w:rPr>
              <w:t>(see Code table 5.1)</w:t>
            </w:r>
          </w:p>
        </w:tc>
        <w:tc>
          <w:tcPr>
            <w:tcW w:type="dxa" w:w="3028"/>
          </w:tcPr>
          <w:p>
            <w:r/>
            <w:r>
              <w:rPr>
                <w:rFonts w:ascii="Arial" w:hAnsi="Arial"/>
                <w:b w:val="0"/>
                <w:sz w:val="16"/>
              </w:rPr>
              <w:t>Code table 5.1</w:t>
            </w:r>
          </w:p>
        </w:tc>
      </w:tr>
      <w:tr>
        <w:tc>
          <w:tcPr>
            <w:tcW w:type="dxa" w:w="3028"/>
          </w:tcPr>
          <w:p>
            <w:r/>
            <w:r>
              <w:rPr>
                <w:rFonts w:ascii="Arial" w:hAnsi="Arial"/>
                <w:b w:val="0"/>
                <w:sz w:val="16"/>
              </w:rPr>
              <w:t>22</w:t>
            </w:r>
          </w:p>
        </w:tc>
        <w:tc>
          <w:tcPr>
            <w:tcW w:type="dxa" w:w="3028"/>
          </w:tcPr>
          <w:p>
            <w:r/>
            <w:r>
              <w:rPr>
                <w:rFonts w:ascii="Arial" w:hAnsi="Arial"/>
                <w:b w:val="0"/>
                <w:sz w:val="16"/>
              </w:rPr>
              <w:t>1</w:t>
            </w:r>
          </w:p>
        </w:tc>
        <w:tc>
          <w:tcPr>
            <w:tcW w:type="dxa" w:w="3028"/>
          </w:tcPr>
          <w:p>
            <w:r/>
            <w:r>
              <w:rPr>
                <w:rFonts w:ascii="Arial" w:hAnsi="Arial"/>
                <w:b w:val="0"/>
                <w:sz w:val="16"/>
              </w:rPr>
              <w:t>CCSDS compression options mask</w:t>
            </w:r>
          </w:p>
        </w:tc>
        <w:tc>
          <w:tcPr>
            <w:tcW w:type="dxa" w:w="3028"/>
          </w:tcPr>
          <w:p>
            <w:r/>
            <w:r>
              <w:rPr>
                <w:rFonts w:ascii="Arial" w:hAnsi="Arial"/>
                <w:b w:val="0"/>
                <w:sz w:val="16"/>
              </w:rPr>
              <w:t>Note 48: Library flags governing data type, and storage and processing parameters. For further information, see Rosenhauer,Mathis. “Flags.” libaec – Adaptive Entropy Coding library. German Climate Computing Centre (DeutschesKlimarechenzentrum, DKRZ), 12 May 2016. Web. 13 June 2016.&lt;http:/gitlab.dkrz.de/k202009/libaec/blob/v0.3.3/README.md#flags&gt;.</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Block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24-25</w:t>
            </w:r>
          </w:p>
        </w:tc>
        <w:tc>
          <w:tcPr>
            <w:tcW w:type="dxa" w:w="3028"/>
          </w:tcPr>
          <w:p>
            <w:r/>
            <w:r>
              <w:rPr>
                <w:rFonts w:ascii="Arial" w:hAnsi="Arial"/>
                <w:b w:val="0"/>
                <w:sz w:val="16"/>
              </w:rPr>
              <w:t>2</w:t>
            </w:r>
          </w:p>
        </w:tc>
        <w:tc>
          <w:tcPr>
            <w:tcW w:type="dxa" w:w="3028"/>
          </w:tcPr>
          <w:p>
            <w:r/>
            <w:r>
              <w:rPr>
                <w:rFonts w:ascii="Arial" w:hAnsi="Arial"/>
                <w:b w:val="0"/>
                <w:sz w:val="16"/>
              </w:rPr>
              <w:t>Reference sample interval</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