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22"/>
        </w:rPr>
        <w:t>Grid point data - complex packing and spatial differencing</w:t>
      </w:r>
    </w:p>
    <w:tbl>
      <w:tblPr>
        <w:tblStyle w:val="TableGrid"/>
        <w:tblW w:type="auto" w:w="0"/>
        <w:jc w:val="center"/>
        <w:tblLook w:firstColumn="1" w:firstRow="1" w:lastColumn="0" w:lastRow="0" w:noHBand="0" w:noVBand="1" w:val="04A0"/>
      </w:tblPr>
      <w:tblGrid>
        <w:gridCol w:w="3028"/>
        <w:gridCol w:w="3028"/>
        <w:gridCol w:w="3028"/>
        <w:gridCol w:w="3028"/>
        <w:gridCol w:w="3028"/>
      </w:tblGrid>
      <w:tr>
        <w:tc>
          <w:tcPr>
            <w:tcW w:type="dxa" w:w="3028"/>
            <w:shd w:val="clear" w:color="auto" w:fill="D9E2F3"/>
          </w:tcPr>
          <w:p>
            <w:pPr>
              <w:jc w:val="center"/>
            </w:pPr>
            <w:r/>
            <w:r>
              <w:rPr>
                <w:rFonts w:ascii="Arial" w:hAnsi="Arial"/>
                <w:b/>
                <w:sz w:val="16"/>
              </w:rPr>
              <w:t>Octet No.</w:t>
            </w:r>
          </w:p>
        </w:tc>
        <w:tc>
          <w:tcPr>
            <w:tcW w:type="dxa" w:w="3028"/>
            <w:shd w:val="clear" w:color="auto" w:fill="D9E2F3"/>
          </w:tcPr>
          <w:p>
            <w:pPr>
              <w:jc w:val="center"/>
            </w:pPr>
            <w:r/>
            <w:r>
              <w:rPr>
                <w:rFonts w:ascii="Arial" w:hAnsi="Arial"/>
                <w:b/>
                <w:sz w:val="16"/>
              </w:rPr>
              <w:t>Count</w:t>
            </w:r>
          </w:p>
        </w:tc>
        <w:tc>
          <w:tcPr>
            <w:tcW w:type="dxa" w:w="3028"/>
            <w:shd w:val="clear" w:color="auto" w:fill="D9E2F3"/>
          </w:tcPr>
          <w:p>
            <w:pPr>
              <w:jc w:val="center"/>
            </w:pPr>
            <w:r/>
            <w:r>
              <w:rPr>
                <w:rFonts w:ascii="Arial" w:hAnsi="Arial"/>
                <w:b/>
                <w:sz w:val="16"/>
              </w:rPr>
              <w:t>Contents</w:t>
            </w:r>
          </w:p>
        </w:tc>
        <w:tc>
          <w:tcPr>
            <w:tcW w:type="dxa" w:w="3028"/>
            <w:shd w:val="clear" w:color="auto" w:fill="D9E2F3"/>
          </w:tcPr>
          <w:p>
            <w:pPr>
              <w:jc w:val="center"/>
            </w:pPr>
            <w:r/>
            <w:r>
              <w:rPr>
                <w:rFonts w:ascii="Arial" w:hAnsi="Arial"/>
                <w:b/>
                <w:sz w:val="16"/>
              </w:rPr>
              <w:t>Note</w:t>
            </w:r>
          </w:p>
        </w:tc>
        <w:tc>
          <w:tcPr>
            <w:tcW w:type="dxa" w:w="3028"/>
            <w:shd w:val="clear" w:color="auto" w:fill="D9E2F3"/>
          </w:tcPr>
          <w:p>
            <w:pPr>
              <w:jc w:val="center"/>
            </w:pPr>
            <w:r/>
            <w:r>
              <w:rPr>
                <w:rFonts w:ascii="Arial" w:hAnsi="Arial"/>
                <w:b/>
                <w:sz w:val="16"/>
              </w:rPr>
              <w:t>Code/Flag Table</w:t>
            </w:r>
          </w:p>
        </w:tc>
      </w:tr>
      <w:tr>
        <w:tc>
          <w:tcPr>
            <w:tcW w:type="dxa" w:w="3028"/>
          </w:tcPr>
          <w:p>
            <w:r/>
            <w:r>
              <w:rPr>
                <w:rFonts w:ascii="Arial" w:hAnsi="Arial"/>
                <w:b w:val="0"/>
                <w:sz w:val="16"/>
              </w:rPr>
              <w:t>6-ww</w:t>
            </w:r>
          </w:p>
        </w:tc>
        <w:tc>
          <w:tcPr>
            <w:tcW w:type="dxa" w:w="3028"/>
          </w:tcPr>
          <w:p>
            <w:r/>
            <w:r>
              <w:rPr>
                <w:rFonts w:ascii="Arial" w:hAnsi="Arial"/>
                <w:b w:val="0"/>
                <w:sz w:val="16"/>
              </w:rPr>
            </w:r>
          </w:p>
        </w:tc>
        <w:tc>
          <w:tcPr>
            <w:tcW w:type="dxa" w:w="3028"/>
          </w:tcPr>
          <w:p>
            <w:r/>
            <w:r>
              <w:rPr>
                <w:rFonts w:ascii="Arial" w:hAnsi="Arial"/>
                <w:b w:val="0"/>
                <w:sz w:val="16"/>
              </w:rPr>
              <w:t>First value(s) of original (undifferenced) scaled data values, followed by the overall minimum of the differences. The number of values stored is 1 greater than the order of differentiation, and the field width is described at octet 49 of data representation template 5.3</w:t>
            </w:r>
          </w:p>
        </w:tc>
        <w:tc>
          <w:tcPr>
            <w:tcW w:type="dxa" w:w="3028"/>
          </w:tcPr>
          <w:p>
            <w:r/>
            <w:r>
              <w:rPr>
                <w:rFonts w:ascii="Arial" w:hAnsi="Arial"/>
                <w:b w:val="0"/>
                <w:sz w:val="16"/>
              </w:rPr>
              <w:t>Note 64: Referring to the notation in Note 1 of data representation template 5.3, at order 1, the values stored in octets 6–ww areg1 and gmin. At order 2, the values stored are h1, h2, and hmin.</w:t>
            </w:r>
          </w:p>
        </w:tc>
        <w:tc>
          <w:tcPr>
            <w:tcW w:type="dxa" w:w="3028"/>
          </w:tcPr>
          <w:p>
            <w:r/>
            <w:r>
              <w:rPr>
                <w:rFonts w:ascii="Arial" w:hAnsi="Arial"/>
                <w:b w:val="0"/>
                <w:sz w:val="16"/>
              </w:rPr>
            </w:r>
          </w:p>
        </w:tc>
      </w:tr>
      <w:tr>
        <w:tc>
          <w:tcPr>
            <w:tcW w:type="dxa" w:w="3028"/>
          </w:tcPr>
          <w:p>
            <w:r/>
            <w:r>
              <w:rPr>
                <w:rFonts w:ascii="Arial" w:hAnsi="Arial"/>
                <w:b w:val="0"/>
                <w:sz w:val="16"/>
              </w:rPr>
              <w:t>[ww+1]-xx</w:t>
            </w:r>
          </w:p>
        </w:tc>
        <w:tc>
          <w:tcPr>
            <w:tcW w:type="dxa" w:w="3028"/>
          </w:tcPr>
          <w:p>
            <w:r/>
            <w:r>
              <w:rPr>
                <w:rFonts w:ascii="Arial" w:hAnsi="Arial"/>
                <w:b w:val="0"/>
                <w:sz w:val="16"/>
              </w:rPr>
            </w:r>
          </w:p>
        </w:tc>
        <w:tc>
          <w:tcPr>
            <w:tcW w:type="dxa" w:w="3028"/>
          </w:tcPr>
          <w:p>
            <w:r/>
            <w:r>
              <w:rPr>
                <w:rFonts w:ascii="Arial" w:hAnsi="Arial"/>
                <w:b w:val="0"/>
                <w:sz w:val="16"/>
              </w:rPr>
              <w:t>NG group reference values (X1 in the decoding formula), each of which is encoded using the number of bits specified in octet 20 of data representation template 5.0. Bits set to zero shall be appended where necessary to ensure this sequence of numbers ends on an octet boundary</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[xx+1]-nn</w:t>
            </w:r>
          </w:p>
        </w:tc>
        <w:tc>
          <w:tcPr>
            <w:tcW w:type="dxa" w:w="3028"/>
          </w:tcPr>
          <w:p>
            <w:r/>
            <w:r>
              <w:rPr>
                <w:rFonts w:ascii="Arial" w:hAnsi="Arial"/>
                <w:b w:val="0"/>
                <w:sz w:val="16"/>
              </w:rPr>
            </w:r>
          </w:p>
        </w:tc>
        <w:tc>
          <w:tcPr>
            <w:tcW w:type="dxa" w:w="3028"/>
          </w:tcPr>
          <w:p>
            <w:r/>
            <w:r>
              <w:rPr>
                <w:rFonts w:ascii="Arial" w:hAnsi="Arial"/>
                <w:b w:val="0"/>
                <w:sz w:val="16"/>
              </w:rPr>
              <w:t>Same as for data representation template 7.2</w:t>
            </w:r>
          </w:p>
        </w:tc>
        <w:tc>
          <w:tcPr>
            <w:tcW w:type="dxa" w:w="3028"/>
          </w:tcPr>
          <w:p>
            <w:r/>
            <w:r>
              <w:rPr>
                <w:rFonts w:ascii="Arial" w:hAnsi="Arial"/>
                <w:b w:val="0"/>
                <w:sz w:val="16"/>
              </w:rPr>
            </w:r>
          </w:p>
        </w:tc>
        <w:tc>
          <w:tcPr>
            <w:tcW w:type="dxa" w:w="3028"/>
          </w:tcPr>
          <w:p>
            <w:r/>
            <w:r>
              <w:rPr>
                <w:rFonts w:ascii="Arial" w:hAnsi="Arial"/>
                <w:b w:val="0"/>
                <w:sz w:val="16"/>
              </w:rPr>
            </w:r>
          </w:p>
        </w:tc>
      </w:tr>
    </w:tbl>
    <w:sectPr w:rsidR="00FC693F" w:rsidRPr="0006063C" w:rsidSect="00034616">
      <w:pgSz w:w="16838" w:h="11906" w:orient="landscape"/>
      <w:pgMar w:top="1440" w:right="850" w:bottom="144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