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1.0 – Número de versión de las tablas maestras de la clave GRIB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Experimental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7 de noviembre de 2001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4 de noviembre de 2003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2 de noviembre de 2005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7 de noviembre de 2007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4 de noviembre de 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15 de septiembre de 2010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4 de mayo de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2 de noviembre de 2011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2 de mayo de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7 de noviembre de 2012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8 de mayo de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14 de noviembre de 2013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7 de mayo de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5 de noviembre de 2014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6 de mayo de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11 de noviembre de 2015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4 de mayo de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2 de noviembre de 2016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3 de mayo de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8 de noviembre de 2017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2 de mayo de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aplicada el 7 de noviembre de 2018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Versión preoperativa que será aplicada con la próxima enmienda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Versiones futuras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