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1.1 – Número de versión de las tablas locales de la clave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ha utilizado ninguna tabla local. Sólo son válidas las entradas de las tablas y los modelos de la tabla maestra actual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versión de las tablas locales utilizadas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