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banderines 3.3 — Banderines de resolución y de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Incrementos no indicados en la dirección 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Incrementos indicados en la dirección 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Incrementos no indicados en la dirección j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Incrementos indicados en la dirección j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Componentes u y v calculados de las cantidades vectoriales por relación con las direcciones este y norte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Componentes u y v calculados de las cantidades vectoriales por relación a la retícula definida en la dirección de las coordenadas crecientes x e y (o i y j), respectivamente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6-8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— fijados en cero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