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banderines 3.4 — Modo de exploración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Exploración de los puntos de la primera línea o columna en la dirección +i (+x)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Exploración de los puntos de la primera línea o columna en la dirección -i (-x)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Exploración de los puntos de la primera línea o columna en la dirección -j (-y)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Exploración de los puntos de la primera línea o columna en la dirección +j (+y)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Los puntos adyacentes en la dirección i (x) son consecutivos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Los puntos adyacentes en la dirección j (y) son consecutivos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Exploración de todas las líneas en la misma dirección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Exploración de líneas adyacentes en la dirección opuesta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Los puntos de las líneas impares no se compensan en la dirección i (x)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Los puntos de las líneas impares se compensan mediante Di/2 en la dirección i (x)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Los puntos de las líneas pares no se compensan en la dirección i (x)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Los puntos de las líneas pares se compensan mediante Di/2 en la dirección i (x)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Los puntos no se compensan en la dirección j (y)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Los puntos se compensan mediante Dj/2 en la dirección j (y)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Las líneas tienen puntos de retícula Ni y las columnas tienen puntos de retícula Nj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Las líneas tienen puntos de retícula Ni si los puntos no se compensan en la dirección i. Las líneas tienen puntos de retícula Ni-1 si los puntos se compensan mediante Di/2 en la dirección i. Las columnas tienen puntos de retícula Nj si los puntos no se compensan en la dirección j.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