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4.224 – Predicción categórica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Zona sin riesgo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Zona de riesgo de tormentas generales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Zona de riesgo leve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Zona de riesgo moderado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Zona de alto riesgo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9-10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Zona de riesgo de tormentas secas (relámpagos secos)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Zona de riesgo grave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15-17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Zona de riesgo extremadamente grave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