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4.238 – Fuentes o sumideros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Otro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Aviación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Relámpagos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Fuentes biogénicas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Fuentes antropógenas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Incendios forestales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Fuentes naturales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Volcanes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Biocombustibles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Combustibles fósiles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Humedales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Océanos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Fuentes antropógenas en altura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Fuentes antropógenas en superficie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Ganadería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Tierras agrícolas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Quema de desechos agrícolas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Agricultura (todo)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Combustión residencial, comercial y de otro tipo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Generación de energía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Super centrales energéticas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Emisiones fugitivas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Procesos industriales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Solventes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Buques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Desechos (sólidos y agua)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Transporte por carretera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Transporte por todo terreno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