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2 – Productos para la superficie terrestre, categoría de parámetros 4: productos relativos a condiciones meteorológicas favorables a los incendios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Previsión de incendios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Previsión de incendios debidos a tormentas secas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Haines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Área incendiada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Fosberg*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condiciones meteorológicas favorables a los incendios (Servicio Forestal Canadiense)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Código de humedad del combustible ligero (Servicio Forestal Canadiense)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Código de humedad de la cobertura vegetal muerta (Servicio Forestal Canadiense)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Código de sequía (Servicio Forestal Canadiense)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propagación inicial de incendios (Servicio Forestal Canadiense)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desarrollo de incendios (Servicio Forestal Canadiense)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Clasificación diaria de la gravedad de los incendios (Servicio Forestal Canadiense)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sequía de Keetch-Byram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sequía (según la definición del Servicio Forestal de Australia)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propagación (según la definición del Servicio Forestal de Australia)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riesgo de incendio (según la definición del Servicio Forestal de Australia)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de propagación (según la definición del Sistema Nacional de Clasificación del Riesgo de Incendio del Servicio Forestal de los Estados Unidos)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combustión (según la definición del Sistema Nacional de Clasificación del Riesgo de Incendio del Servicio Forestal de los Estados Unidos)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de ignición (según la definición del Sistema Nacional de Clasificación del Riesgo de Incendio del Servicio Forestal de los Estados Unidos)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de liberación de energía según la definición del Sistema Nacional de Clasificación del Riesgo de Incendio del Servicio Forestal de los Estados Unidos)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julio/m²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