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22"/>
        </w:rPr>
        <w:t>Definición del calendario y compensación paleontológica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Octet No.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Count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Contents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Note</w:t>
            </w:r>
          </w:p>
        </w:tc>
        <w:tc>
          <w:tcPr>
            <w:tcW w:type="dxa" w:w="3028"/>
            <w:shd w:val="clear" w:color="auto" w:fill="D9E2F3"/>
          </w:tcPr>
          <w:p>
            <w:pPr>
              <w:jc w:val="center"/>
            </w:pPr>
            <w:r/>
            <w:r>
              <w:rPr>
                <w:rFonts w:ascii="Arial" w:hAnsi="Arial"/>
                <w:b/>
                <w:sz w:val="16"/>
              </w:rPr>
              <w:t>Code/Flag Table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24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1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Tipo de calendario (véase la Tabla de cifrado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Code table 1.6</w:t>
            </w:r>
          </w:p>
        </w:tc>
      </w:tr>
      <w:tr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25-26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2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  <w:t>Decenas de miles de años de compensación</w:t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  <w:tc>
          <w:tcPr>
            <w:tcW w:type="dxa" w:w="3028"/>
          </w:tcPr>
          <w:p>
            <w:r/>
            <w:r>
              <w:rPr>
                <w:rFonts w:ascii="Arial" w:hAnsi="Arial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1440" w:right="850" w:bottom="144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