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3.61— Representación espectral mediante proyección Mercator con definición de los subdominios de modelización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representación espectral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parámetro de resolución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parámetro de resolución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truncamiento del dominio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tamaño en metros del dominio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tamaño en metros del subdominio de la predicción de modelo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anchura en metros del área de acoplamiento en el dominio de la predicción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tamaño en metros del dominio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tamaño en metros del subdominio de la predicción de modelo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- anchura en metros del área de acoplamiento en el dominio de la predicción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97-100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latitud(es) de intersección del cilindro de proyección de Mercator con la Tierra  para las cuales se especifican Di y Dj)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101-104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latitud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105-108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longitud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109-112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Orientación de la retícula, ángulo entre la dirección i en el mapa y el ecuador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