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representación de los datos 5.2 – Datos en los puntos de la retícula, empaquetado complejo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Idéntico al Modelo de representación de los datos 5.0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Método de separación en grupos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5.4)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Tratamiento de los valores faltantes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5.5)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Sustitución de los valores faltantes primarios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Sustitución de los valores faltantes secundarios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NG - número de grupos en los que se reparten los valores del campo subdivido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Referencia para las anchuras de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bits utilizados para las anchuras de los grupos (cuando se ha suprimido el valor de referencia del octeto 36)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Referencia para las longitudes de los grupos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utilizado para las longitudes de los grupos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 verdadera del último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bits utilizados para indicar las longitudes ajustadas de los grupos (después de restar el valor de referencia indicado por los octetos 38-41 y división por el incremento de longitud indicado por el octeto 42)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