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Datos en los puntos de la retícula, empaquetado complejo y diferenciación espacial</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6-ww</w:t>
            </w:r>
          </w:p>
        </w:tc>
        <w:tc>
          <w:tcPr>
            <w:tcW w:type="dxa" w:w="3028"/>
          </w:tcPr>
          <w:p>
            <w:r/>
            <w:r>
              <w:rPr>
                <w:rFonts w:ascii="Arial" w:hAnsi="Arial"/>
                <w:b w:val="0"/>
                <w:sz w:val="16"/>
              </w:rPr>
            </w:r>
          </w:p>
        </w:tc>
        <w:tc>
          <w:tcPr>
            <w:tcW w:type="dxa" w:w="3028"/>
          </w:tcPr>
          <w:p>
            <w:r/>
            <w:r>
              <w:rPr>
                <w:rFonts w:ascii="Arial" w:hAnsi="Arial"/>
                <w:b w:val="0"/>
                <w:sz w:val="16"/>
              </w:rPr>
              <w:t>Primer valor(es) entre los valores ajustados de los datos (sin diferenciación), seguido(s) por el mínimo absoluto de las diferencias. El número de valores registrados es igual al orden de diferenciación más 1 y la anchura del campo está indicada por el octeto 49 del Modelo de representación de los datos 5.3</w:t>
            </w:r>
          </w:p>
        </w:tc>
        <w:tc>
          <w:tcPr>
            <w:tcW w:type="dxa" w:w="3028"/>
          </w:tcPr>
          <w:p>
            <w:r/>
            <w:r>
              <w:rPr>
                <w:rFonts w:ascii="Arial" w:hAnsi="Arial"/>
                <w:b w:val="0"/>
                <w:sz w:val="16"/>
              </w:rPr>
              <w:t>(véase la nota 1)</w:t>
            </w:r>
          </w:p>
        </w:tc>
        <w:tc>
          <w:tcPr>
            <w:tcW w:type="dxa" w:w="3028"/>
          </w:tcPr>
          <w:p>
            <w:r/>
            <w:r>
              <w:rPr>
                <w:rFonts w:ascii="Arial" w:hAnsi="Arial"/>
                <w:b w:val="0"/>
                <w:sz w:val="16"/>
              </w:rPr>
            </w:r>
          </w:p>
        </w:tc>
      </w:tr>
      <w:tr>
        <w:tc>
          <w:tcPr>
            <w:tcW w:type="dxa" w:w="3028"/>
          </w:tcPr>
          <w:p>
            <w:r/>
            <w:r>
              <w:rPr>
                <w:rFonts w:ascii="Arial" w:hAnsi="Arial"/>
                <w:b w:val="0"/>
                <w:sz w:val="16"/>
              </w:rPr>
              <w:t>[ww+1]-xx</w:t>
            </w:r>
          </w:p>
        </w:tc>
        <w:tc>
          <w:tcPr>
            <w:tcW w:type="dxa" w:w="3028"/>
          </w:tcPr>
          <w:p>
            <w:r/>
            <w:r>
              <w:rPr>
                <w:rFonts w:ascii="Arial" w:hAnsi="Arial"/>
                <w:b w:val="0"/>
                <w:sz w:val="16"/>
              </w:rPr>
            </w:r>
          </w:p>
        </w:tc>
        <w:tc>
          <w:tcPr>
            <w:tcW w:type="dxa" w:w="3028"/>
          </w:tcPr>
          <w:p>
            <w:r/>
            <w:r>
              <w:rPr>
                <w:rFonts w:ascii="Arial" w:hAnsi="Arial"/>
                <w:b w:val="0"/>
                <w:sz w:val="16"/>
              </w:rPr>
              <w:t>Valores de referencia de los grupos NG (X1 en la fórmula de descifrado), cada uno de esos valores está cifrado empleando el número de bits especificado en el octeto 20 del Modelo de representación de los datos 5.0. Conviene añadir el número necesario de bits cifrados en 0 para que la secuencia de números se termine al final de un octeto</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[xx+1]-nn</w:t>
            </w:r>
          </w:p>
        </w:tc>
        <w:tc>
          <w:tcPr>
            <w:tcW w:type="dxa" w:w="3028"/>
          </w:tcPr>
          <w:p>
            <w:r/>
            <w:r>
              <w:rPr>
                <w:rFonts w:ascii="Arial" w:hAnsi="Arial"/>
                <w:b w:val="0"/>
                <w:sz w:val="16"/>
              </w:rPr>
            </w:r>
          </w:p>
        </w:tc>
        <w:tc>
          <w:tcPr>
            <w:tcW w:type="dxa" w:w="3028"/>
          </w:tcPr>
          <w:p>
            <w:r/>
            <w:r>
              <w:rPr>
                <w:rFonts w:ascii="Arial" w:hAnsi="Arial"/>
                <w:b w:val="0"/>
                <w:sz w:val="16"/>
              </w:rPr>
              <w:t>Idéntico al Modelo de representación de los datos 7.2</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