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3.1 — Numéro du modèle de définition de la grille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appelée aussi équidistante cylindrique ou Plate Carrée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latitude/longitude après rotation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latitude/longitude après dilatation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latitude/longitude après dilatation et rotation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latitude/longitude de résolution variable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latitude/longitude de résolution variable après rotation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de Mercator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de Mercator avec définition des sous-domaines de modélisation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stéréographique polaire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Sud ou nord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stéréographique polaire avec définition des sous-domaines de modélisation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conforme de Lambert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Sécante ou tangente, conique ou bipolaire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d'Albers conservant le rapport des aires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conforme de Lambert avec définition des sous-domaines de modélisation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gaussienne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gaussienne latitude/longitude après rotation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gaussienne latitude/longitude après dilatation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gaussienne latitude/longitude après dilatation et rotation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harmoniques sphériques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harmoniques sphériques après rotation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harmoniques sphériques après dilatation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harmoniques sphériques après dilatation et rotation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Représentation spectrale en projection de Mercator avec définition des sous-domaines de modélisation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Représentation spectrale en projection stéréographique polaire avec définition des sous-domaines de modélisation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Représentation spectrale en projection conforme de Lambert avec définition des sous-domaines de modélisation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Perspective vue de l'espace ou projection orthographique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triangulaire, face d'un icosaèdre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générale non structurée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102-109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équatoriale azimutale équidistante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111-119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azimut-distance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121-139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azimutale équivalente de Lambert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141-999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de coupe verticale, dont les points sur l'horizontale sont équidistants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1001-1099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du diagramme de Hovmöller, dont les points sur l'horizontale sont équidistants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1101-1199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Grille de coupe dans le temps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1201-32767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