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0: température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virtuelle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potentielle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pseudo-adiabatique potentielle ou température potentielle équivalente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maximale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minimale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du point de rosée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Dépression du point de rosée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Gradient vertical de 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Anomalie de 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résultant de chaleur latente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résultant de chaleur sensible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thermique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refroidissement du vent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Dépression minimale du point de rosée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Paramètre caduc (voir la règle 92.6.2), qu’il convient de remplacer par un autre paramètre.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potentielle virtuelle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chaleur résultant d'un changement de phase de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pelliculaire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neige (en surface)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de transfert thermique en régime turbulent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Coefficient de diffusion thermique par la turbulence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apparente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30: La température apparente est la température extérieure ressentie, résultant d’une association de phénomènes tels que la température de l’air, l’humidité relative et la vitesse du vent.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température découlant du rayonnement de courte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température découlant du rayonnement de grande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température découlant du rayonnement de courte longueur d'onde,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température découlant du rayonnement de grande longueur d'onde,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Tendance de la température découlant d'une paramétrisation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du thermomètre mouillé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Composante instable de la 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Advection de température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s-1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