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 — Número de parámetros por campo de especialización y categoría de parámetros</w:t>
      </w:r>
    </w:p>
    <w:p>
      <w:pPr>
        <w:jc w:val="center"/>
      </w:pPr>
      <w:r>
        <w:rPr>
          <w:rFonts w:ascii="Arial" w:hAnsi="Arial"/>
          <w:i/>
          <w:sz w:val="18"/>
        </w:rPr>
        <w:t>Domaine de spécialisation 0 – Produits météorologiques, Catégorie de paramètres 13: aérosols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Type d'aérosol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(Table de code 4.205)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 pour un usage local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Valeur manquante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