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0 – Produits météorologiques, Catégorie de paramètres 18: radiations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dans l'air du césium 137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dans l'air de l'iode 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dans l'air du polluant radioactif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Dépôt au sol du césium 137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Dépôt au sol de l'iode 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Dépôt au sol du polluant radioactif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dans l'air du césium 137, intégrée dans le temps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s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2: Le calcul statistique 1 (total) ne modifie pas les unités. Il est recommandé d’utiliser un autre paramètre faisant état d’une intensité avec, dans le MDP, la possibilité d’indiquer une valeur cumulative.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dans l'air de l'iode 131, intégrée dans le temps,(voir la note 1),2,Bq s m-3,Operational,Original</w:t>
              <w:br/>
              <w:t>grib2/4/2/0/18/8,Tabla de cifrado 4.2 — Número de parámetros por campo de especialización y categoría de parámetros,Domaine de spécialisation 0 – Produits météorologiques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8: Paramètre caduc. Utiliser un autre paramètre dans la catégorie de paramètres 3: produits relatifs aux sols.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dans l'air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Dépôts humides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Dépôts secs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des dépôts (humides et secs)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Activité massique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maximale dans l'air par couche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Hauteur de la concentration maximale dans l'air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dans l'air intégrée sur la colonne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dans l'air par couche moyennée sur la colonne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