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20: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masse (concentration)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intégrée de la densité de masse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(fraction de masse dans l'air)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Émissions en flux de masse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Production nette en flux de masse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Production nette et émissions en flux de masse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Dépôts secs en flux de masse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Dépôts humides en flux de masse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Réémission en flux de masse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humide par flux massique de précipitations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humide par flux massique de précipitations convectives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massique de sédimentation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en flux massique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Transfert du domaine hydrophobe au domaine hydrophile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Transfert du SO2 (dioxyde de soufre) au SO4 (sulfate)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de dépôt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pour l'air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pour l'air humide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Quantité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dans l'air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du volume (fraction dans l'air)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production chimique brute de la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destruction chimique brute de la concentration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m-3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Changements de quantité dans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Charge totale moyenne annuelle de l'atmosphère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Perte atmosphérique totale moyennée sur une année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de particules d'aérosol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massique des particules d'aérosol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massique maximum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du maximum de densité massique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volumique par couche moyennée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molaire dans l'air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molaire dans l'air humide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mol mol-1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dans les nuages par les précipitations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au-dessous des nuages par les précipitations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d'émission par évaporation des précipitations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par les précipitations à grande échelle dans les nuages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par les précipitations à grande échelle au-dessous des nuages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d'émission par évaporation de précipitations à grande échelle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dans les nuages par les précipitations convectives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lessivage au-dessous des nuages par les précipitations convectives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d'émission par évaporation de précipitations convectives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thermique lié à un incendie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d'émission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d'émission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surface (aérosols)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Portée visuelle verticale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optique des aérosols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 à diffusion unique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d'asymétrie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d'atténuation par les aérosols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d'absorption par les aérosols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Rétrodiffusion par les aérosols (lidar,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Rétrodiffusion par les aérosols (lidar,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Atténuation par les aérosols (lidar,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Atténuation par les aérosols (lidar,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Exposant d'Ångström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