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Table de code 4.5 – Type et unité des surfaces spécifiées</w:t>
      </w:r>
    </w:p>
    <w:tbl>
      <w:tblPr>
        <w:tblStyle w:val="TableGrid"/>
        <w:tblW w:type="auto" w:w="0"/>
        <w:jc w:val="center"/>
        <w:tblLook w:firstColumn="1" w:firstRow="1" w:lastColumn="0" w:lastRow="0" w:noHBand="0" w:noVBand="1" w:val="04A0"/>
      </w:tblPr>
      <w:tblGrid>
        <w:gridCol w:w="3784"/>
        <w:gridCol w:w="3784"/>
        <w:gridCol w:w="3784"/>
        <w:gridCol w:w="3784"/>
      </w:tblGrid>
      <w:tr>
        <w:tc>
          <w:tcPr>
            <w:tcW w:type="dxa" w:w="3784"/>
            <w:shd w:val="clear" w:color="auto" w:fill="D9E2F3"/>
          </w:tcPr>
          <w:p>
            <w:pPr>
              <w:jc w:val="center"/>
            </w:pPr>
            <w:r/>
            <w:r>
              <w:rPr>
                <w:rFonts w:ascii="Arial" w:hAnsi="Arial"/>
                <w:b/>
                <w:sz w:val="16"/>
              </w:rPr>
              <w:t>CodeFlag</w:t>
            </w:r>
          </w:p>
        </w:tc>
        <w:tc>
          <w:tcPr>
            <w:tcW w:type="dxa" w:w="3784"/>
            <w:shd w:val="clear" w:color="auto" w:fill="D9E2F3"/>
          </w:tcPr>
          <w:p>
            <w:pPr>
              <w:jc w:val="center"/>
            </w:pPr>
            <w:r/>
            <w:r>
              <w:rPr>
                <w:rFonts w:ascii="Arial" w:hAnsi="Arial"/>
                <w:b/>
                <w:sz w:val="16"/>
              </w:rPr>
              <w:t>Description</w:t>
            </w:r>
          </w:p>
        </w:tc>
        <w:tc>
          <w:tcPr>
            <w:tcW w:type="dxa" w:w="3784"/>
            <w:shd w:val="clear" w:color="auto" w:fill="D9E2F3"/>
          </w:tcPr>
          <w:p>
            <w:pPr>
              <w:jc w:val="center"/>
            </w:pPr>
            <w:r/>
            <w:r>
              <w:rPr>
                <w:rFonts w:ascii="Arial" w:hAnsi="Arial"/>
                <w:b/>
                <w:sz w:val="16"/>
              </w:rPr>
              <w:t>Units</w:t>
            </w:r>
          </w:p>
        </w:tc>
        <w:tc>
          <w:tcPr>
            <w:tcW w:type="dxa" w:w="3784"/>
            <w:shd w:val="clear" w:color="auto" w:fill="D9E2F3"/>
          </w:tcPr>
          <w:p>
            <w:pPr>
              <w:jc w:val="center"/>
            </w:pPr>
            <w:r/>
            <w:r>
              <w:rPr>
                <w:rFonts w:ascii="Arial" w:hAnsi="Arial"/>
                <w:b/>
                <w:sz w:val="16"/>
              </w:rPr>
              <w:t>Note</w:t>
            </w:r>
          </w:p>
        </w:tc>
      </w:tr>
      <w:tr>
        <w:tc>
          <w:tcPr>
            <w:tcW w:type="dxa" w:w="3784"/>
          </w:tcPr>
          <w:p>
            <w:r/>
            <w:r>
              <w:rPr>
                <w:rFonts w:ascii="Arial" w:hAnsi="Arial"/>
                <w:b w:val="0"/>
                <w:sz w:val="16"/>
              </w:rPr>
              <w:t>0</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w:t>
            </w:r>
          </w:p>
        </w:tc>
        <w:tc>
          <w:tcPr>
            <w:tcW w:type="dxa" w:w="3784"/>
          </w:tcPr>
          <w:p>
            <w:r/>
            <w:r>
              <w:rPr>
                <w:rFonts w:ascii="Arial" w:hAnsi="Arial"/>
                <w:b w:val="0"/>
                <w:sz w:val="16"/>
              </w:rPr>
              <w:t>Surface (terre ou 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w:t>
            </w:r>
          </w:p>
        </w:tc>
        <w:tc>
          <w:tcPr>
            <w:tcW w:type="dxa" w:w="3784"/>
          </w:tcPr>
          <w:p>
            <w:r/>
            <w:r>
              <w:rPr>
                <w:rFonts w:ascii="Arial" w:hAnsi="Arial"/>
                <w:b w:val="0"/>
                <w:sz w:val="16"/>
              </w:rPr>
              <w:t>Base des nuages (niveau)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3</w:t>
            </w:r>
          </w:p>
        </w:tc>
        <w:tc>
          <w:tcPr>
            <w:tcW w:type="dxa" w:w="3784"/>
          </w:tcPr>
          <w:p>
            <w:r/>
            <w:r>
              <w:rPr>
                <w:rFonts w:ascii="Arial" w:hAnsi="Arial"/>
                <w:b w:val="0"/>
                <w:sz w:val="16"/>
              </w:rPr>
              <w:t>Sommet des nuages (niveau)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4</w:t>
            </w:r>
          </w:p>
        </w:tc>
        <w:tc>
          <w:tcPr>
            <w:tcW w:type="dxa" w:w="3784"/>
          </w:tcPr>
          <w:p>
            <w:r/>
            <w:r>
              <w:rPr>
                <w:rFonts w:ascii="Arial" w:hAnsi="Arial"/>
                <w:b w:val="0"/>
                <w:sz w:val="16"/>
              </w:rPr>
              <w:t>Niveau isotherme 0 °C</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5</w:t>
            </w:r>
          </w:p>
        </w:tc>
        <w:tc>
          <w:tcPr>
            <w:tcW w:type="dxa" w:w="3784"/>
          </w:tcPr>
          <w:p>
            <w:r/>
            <w:r>
              <w:rPr>
                <w:rFonts w:ascii="Arial" w:hAnsi="Arial"/>
                <w:b w:val="0"/>
                <w:sz w:val="16"/>
              </w:rPr>
              <w:t>Niveau de condensation adiabatique à partir de la surface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6</w:t>
            </w:r>
          </w:p>
        </w:tc>
        <w:tc>
          <w:tcPr>
            <w:tcW w:type="dxa" w:w="3784"/>
          </w:tcPr>
          <w:p>
            <w:r/>
            <w:r>
              <w:rPr>
                <w:rFonts w:ascii="Arial" w:hAnsi="Arial"/>
                <w:b w:val="0"/>
                <w:sz w:val="16"/>
              </w:rPr>
              <w:t>Niveau du vent maximal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7</w:t>
            </w:r>
          </w:p>
        </w:tc>
        <w:tc>
          <w:tcPr>
            <w:tcW w:type="dxa" w:w="3784"/>
          </w:tcPr>
          <w:p>
            <w:r/>
            <w:r>
              <w:rPr>
                <w:rFonts w:ascii="Arial" w:hAnsi="Arial"/>
                <w:b w:val="0"/>
                <w:sz w:val="16"/>
              </w:rPr>
              <w:t>Tropopause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8</w:t>
            </w:r>
          </w:p>
        </w:tc>
        <w:tc>
          <w:tcPr>
            <w:tcW w:type="dxa" w:w="3784"/>
          </w:tcPr>
          <w:p>
            <w:r/>
            <w:r>
              <w:rPr>
                <w:rFonts w:ascii="Arial" w:hAnsi="Arial"/>
                <w:b w:val="0"/>
                <w:sz w:val="16"/>
              </w:rPr>
              <w:t>Sommet nominal de l'atmosphère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9</w:t>
            </w:r>
          </w:p>
        </w:tc>
        <w:tc>
          <w:tcPr>
            <w:tcW w:type="dxa" w:w="3784"/>
          </w:tcPr>
          <w:p>
            <w:r/>
            <w:r>
              <w:rPr>
                <w:rFonts w:ascii="Arial" w:hAnsi="Arial"/>
                <w:b w:val="0"/>
                <w:sz w:val="16"/>
              </w:rPr>
              <w:t>Fond de la mer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w:t>
            </w:r>
          </w:p>
        </w:tc>
        <w:tc>
          <w:tcPr>
            <w:tcW w:type="dxa" w:w="3784"/>
          </w:tcPr>
          <w:p>
            <w:r/>
            <w:r>
              <w:rPr>
                <w:rFonts w:ascii="Arial" w:hAnsi="Arial"/>
                <w:b w:val="0"/>
                <w:sz w:val="16"/>
              </w:rPr>
              <w:t>Ensemble de l'atmosphère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w:t>
            </w:r>
          </w:p>
        </w:tc>
        <w:tc>
          <w:tcPr>
            <w:tcW w:type="dxa" w:w="3784"/>
          </w:tcPr>
          <w:p>
            <w:r/>
            <w:r>
              <w:rPr>
                <w:rFonts w:ascii="Arial" w:hAnsi="Arial"/>
                <w:b w:val="0"/>
                <w:sz w:val="16"/>
              </w:rPr>
              <w:t>Base de cumulonimbus (CB)</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12</w:t>
            </w:r>
          </w:p>
        </w:tc>
        <w:tc>
          <w:tcPr>
            <w:tcW w:type="dxa" w:w="3784"/>
          </w:tcPr>
          <w:p>
            <w:r/>
            <w:r>
              <w:rPr>
                <w:rFonts w:ascii="Arial" w:hAnsi="Arial"/>
                <w:b w:val="0"/>
                <w:sz w:val="16"/>
              </w:rPr>
              <w:t>Sommet de cumulonimbus (CB)</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13</w:t>
            </w:r>
          </w:p>
        </w:tc>
        <w:tc>
          <w:tcPr>
            <w:tcW w:type="dxa" w:w="3784"/>
          </w:tcPr>
          <w:p>
            <w:r/>
            <w:r>
              <w:rPr>
                <w:rFonts w:ascii="Arial" w:hAnsi="Arial"/>
                <w:b w:val="0"/>
                <w:sz w:val="16"/>
              </w:rPr>
              <w:t>Niveau le plus bas auquel la nébulosité intégrée verticalement dépasse le pourcentage spécifié (base des nuages pour une nébulosité donnée)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14</w:t>
            </w:r>
          </w:p>
        </w:tc>
        <w:tc>
          <w:tcPr>
            <w:tcW w:type="dxa" w:w="3784"/>
          </w:tcPr>
          <w:p>
            <w:r/>
            <w:r>
              <w:rPr>
                <w:rFonts w:ascii="Arial" w:hAnsi="Arial"/>
                <w:b w:val="0"/>
                <w:sz w:val="16"/>
              </w:rPr>
              <w:t>Niveau de convection libre (NCL)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15</w:t>
            </w:r>
          </w:p>
        </w:tc>
        <w:tc>
          <w:tcPr>
            <w:tcW w:type="dxa" w:w="3784"/>
          </w:tcPr>
          <w:p>
            <w:r/>
            <w:r>
              <w:rPr>
                <w:rFonts w:ascii="Arial" w:hAnsi="Arial"/>
                <w:b w:val="0"/>
                <w:sz w:val="16"/>
              </w:rPr>
              <w:t>Niveau de condensation par convection (NCC)</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w:t>
            </w:r>
          </w:p>
        </w:tc>
        <w:tc>
          <w:tcPr>
            <w:tcW w:type="dxa" w:w="3784"/>
          </w:tcPr>
          <w:p>
            <w:r/>
            <w:r>
              <w:rPr>
                <w:rFonts w:ascii="Arial" w:hAnsi="Arial"/>
                <w:b w:val="0"/>
                <w:sz w:val="16"/>
              </w:rPr>
              <w:t>Niveau de flottabilité neutre ou niveau d'équilibre (LNB)</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17-19</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20</w:t>
            </w:r>
          </w:p>
        </w:tc>
        <w:tc>
          <w:tcPr>
            <w:tcW w:type="dxa" w:w="3784"/>
          </w:tcPr>
          <w:p>
            <w:r/>
            <w:r>
              <w:rPr>
                <w:rFonts w:ascii="Arial" w:hAnsi="Arial"/>
                <w:b w:val="0"/>
                <w:sz w:val="16"/>
              </w:rPr>
              <w:t>Niveau isotherme</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21</w:t>
            </w:r>
          </w:p>
        </w:tc>
        <w:tc>
          <w:tcPr>
            <w:tcW w:type="dxa" w:w="3784"/>
          </w:tcPr>
          <w:p>
            <w:r/>
            <w:r>
              <w:rPr>
                <w:rFonts w:ascii="Arial" w:hAnsi="Arial"/>
                <w:b w:val="0"/>
                <w:sz w:val="16"/>
              </w:rPr>
              <w:t>Niveau le plus bas où la masse volumique dépasse la valeur spécifiée (base pour un seuil donné de masse volumique)</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22</w:t>
            </w:r>
          </w:p>
        </w:tc>
        <w:tc>
          <w:tcPr>
            <w:tcW w:type="dxa" w:w="3784"/>
          </w:tcPr>
          <w:p>
            <w:r/>
            <w:r>
              <w:rPr>
                <w:rFonts w:ascii="Arial" w:hAnsi="Arial"/>
                <w:b w:val="0"/>
                <w:sz w:val="16"/>
              </w:rPr>
              <w:t>Niveau le plus élevé où la masse volumique dépasse la valeur spécifiée (sommet pour un seuil donné de masse volumique)</w:t>
            </w:r>
          </w:p>
        </w:tc>
        <w:tc>
          <w:tcPr>
            <w:tcW w:type="dxa" w:w="3784"/>
          </w:tcPr>
          <w:p>
            <w:r/>
            <w:r>
              <w:rPr>
                <w:rFonts w:ascii="Arial" w:hAnsi="Arial"/>
                <w:b w:val="0"/>
                <w:sz w:val="16"/>
              </w:rPr>
              <w:t>kg m-3</w:t>
            </w:r>
          </w:p>
        </w:tc>
        <w:tc>
          <w:tcPr>
            <w:tcW w:type="dxa" w:w="3784"/>
          </w:tcPr>
          <w:p>
            <w:r/>
            <w:r>
              <w:rPr>
                <w:rFonts w:ascii="Arial" w:hAnsi="Arial"/>
                <w:b w:val="0"/>
                <w:sz w:val="16"/>
              </w:rPr>
            </w:r>
          </w:p>
        </w:tc>
      </w:tr>
      <w:tr>
        <w:tc>
          <w:tcPr>
            <w:tcW w:type="dxa" w:w="3784"/>
          </w:tcPr>
          <w:p>
            <w:r/>
            <w:r>
              <w:rPr>
                <w:rFonts w:ascii="Arial" w:hAnsi="Arial"/>
                <w:b w:val="0"/>
                <w:sz w:val="16"/>
              </w:rPr>
              <w:t>23</w:t>
            </w:r>
          </w:p>
        </w:tc>
        <w:tc>
          <w:tcPr>
            <w:tcW w:type="dxa" w:w="3784"/>
          </w:tcPr>
          <w:p>
            <w:r/>
            <w:r>
              <w:rPr>
                <w:rFonts w:ascii="Arial" w:hAnsi="Arial"/>
                <w:b w:val="0"/>
                <w:sz w:val="16"/>
              </w:rPr>
              <w:t>Niveau le plus bas où la concentration dans l'air dépasse la valeur spécifiée (base pour un seuil donné de concentration dans l'air)</w:t>
            </w:r>
          </w:p>
        </w:tc>
        <w:tc>
          <w:tcPr>
            <w:tcW w:type="dxa" w:w="3784"/>
          </w:tcPr>
          <w:p>
            <w:r/>
            <w:r>
              <w:rPr>
                <w:rFonts w:ascii="Arial" w:hAnsi="Arial"/>
                <w:b w:val="0"/>
                <w:sz w:val="16"/>
              </w:rPr>
              <w:t>Bq m-3</w:t>
            </w:r>
          </w:p>
        </w:tc>
        <w:tc>
          <w:tcPr>
            <w:tcW w:type="dxa" w:w="3784"/>
          </w:tcPr>
          <w:p>
            <w:r/>
            <w:r>
              <w:rPr>
                <w:rFonts w:ascii="Arial" w:hAnsi="Arial"/>
                <w:b w:val="0"/>
                <w:sz w:val="16"/>
              </w:rPr>
            </w:r>
          </w:p>
        </w:tc>
      </w:tr>
      <w:tr>
        <w:tc>
          <w:tcPr>
            <w:tcW w:type="dxa" w:w="3784"/>
          </w:tcPr>
          <w:p>
            <w:r/>
            <w:r>
              <w:rPr>
                <w:rFonts w:ascii="Arial" w:hAnsi="Arial"/>
                <w:b w:val="0"/>
                <w:sz w:val="16"/>
              </w:rPr>
              <w:t>24</w:t>
            </w:r>
          </w:p>
        </w:tc>
        <w:tc>
          <w:tcPr>
            <w:tcW w:type="dxa" w:w="3784"/>
          </w:tcPr>
          <w:p>
            <w:r/>
            <w:r>
              <w:rPr>
                <w:rFonts w:ascii="Arial" w:hAnsi="Arial"/>
                <w:b w:val="0"/>
                <w:sz w:val="16"/>
              </w:rPr>
              <w:t>Niveau le plus élevé où la concentration dans l'air dépasse la valeur spécifiée (sommet pour un seuil donné de concentration dans l'air)</w:t>
            </w:r>
          </w:p>
        </w:tc>
        <w:tc>
          <w:tcPr>
            <w:tcW w:type="dxa" w:w="3784"/>
          </w:tcPr>
          <w:p>
            <w:r/>
            <w:r>
              <w:rPr>
                <w:rFonts w:ascii="Arial" w:hAnsi="Arial"/>
                <w:b w:val="0"/>
                <w:sz w:val="16"/>
              </w:rPr>
              <w:t>Bq m-3</w:t>
            </w:r>
          </w:p>
        </w:tc>
        <w:tc>
          <w:tcPr>
            <w:tcW w:type="dxa" w:w="3784"/>
          </w:tcPr>
          <w:p>
            <w:r/>
            <w:r>
              <w:rPr>
                <w:rFonts w:ascii="Arial" w:hAnsi="Arial"/>
                <w:b w:val="0"/>
                <w:sz w:val="16"/>
              </w:rPr>
            </w:r>
          </w:p>
        </w:tc>
      </w:tr>
      <w:tr>
        <w:tc>
          <w:tcPr>
            <w:tcW w:type="dxa" w:w="3784"/>
          </w:tcPr>
          <w:p>
            <w:r/>
            <w:r>
              <w:rPr>
                <w:rFonts w:ascii="Arial" w:hAnsi="Arial"/>
                <w:b w:val="0"/>
                <w:sz w:val="16"/>
              </w:rPr>
              <w:t>25</w:t>
            </w:r>
          </w:p>
        </w:tc>
        <w:tc>
          <w:tcPr>
            <w:tcW w:type="dxa" w:w="3784"/>
          </w:tcPr>
          <w:p>
            <w:r/>
            <w:r>
              <w:rPr>
                <w:rFonts w:ascii="Arial" w:hAnsi="Arial"/>
                <w:b w:val="0"/>
                <w:sz w:val="16"/>
              </w:rPr>
              <w:t>Niveau le plus élevé où la réflectivité radar est supérieure à la valeur indiquée (sommet de l'écho pour un seuil donné de réflectivité)</w:t>
            </w:r>
          </w:p>
        </w:tc>
        <w:tc>
          <w:tcPr>
            <w:tcW w:type="dxa" w:w="3784"/>
          </w:tcPr>
          <w:p>
            <w:r/>
            <w:r>
              <w:rPr>
                <w:rFonts w:ascii="Arial" w:hAnsi="Arial"/>
                <w:b w:val="0"/>
                <w:sz w:val="16"/>
              </w:rPr>
              <w:t>dBZ</w:t>
            </w:r>
          </w:p>
        </w:tc>
        <w:tc>
          <w:tcPr>
            <w:tcW w:type="dxa" w:w="3784"/>
          </w:tcPr>
          <w:p>
            <w:r/>
            <w:r>
              <w:rPr>
                <w:rFonts w:ascii="Arial" w:hAnsi="Arial"/>
                <w:b w:val="0"/>
                <w:sz w:val="16"/>
              </w:rPr>
            </w:r>
          </w:p>
        </w:tc>
      </w:tr>
      <w:tr>
        <w:tc>
          <w:tcPr>
            <w:tcW w:type="dxa" w:w="3784"/>
          </w:tcPr>
          <w:p>
            <w:r/>
            <w:r>
              <w:rPr>
                <w:rFonts w:ascii="Arial" w:hAnsi="Arial"/>
                <w:b w:val="0"/>
                <w:sz w:val="16"/>
              </w:rPr>
              <w:t>26-99</w:t>
            </w:r>
          </w:p>
        </w:tc>
        <w:tc>
          <w:tcPr>
            <w:tcW w:type="dxa" w:w="3784"/>
          </w:tcPr>
          <w:p>
            <w:r/>
            <w:r>
              <w:rPr>
                <w:rFonts w:ascii="Arial" w:hAnsi="Arial"/>
                <w:b w:val="0"/>
                <w:sz w:val="16"/>
              </w:rPr>
              <w:t>En réserve</w:t>
            </w:r>
          </w:p>
        </w:tc>
        <w:tc>
          <w:tcPr>
            <w:tcW w:type="dxa" w:w="3784"/>
          </w:tcPr>
          <w:p>
            <w:r/>
            <w:r>
              <w:rPr>
                <w:rFonts w:ascii="Arial" w:hAnsi="Arial"/>
                <w:b w:val="0"/>
                <w:sz w:val="16"/>
              </w:rPr>
            </w:r>
          </w:p>
        </w:tc>
        <w:tc>
          <w:tcPr>
            <w:tcW w:type="dxa" w:w="3784"/>
          </w:tcPr>
          <w:p>
            <w:r/>
            <w:r>
              <w:rPr>
                <w:rFonts w:ascii="Arial" w:hAnsi="Arial"/>
                <w:b w:val="0"/>
                <w:sz w:val="16"/>
              </w:rPr>
            </w:r>
          </w:p>
        </w:tc>
      </w:tr>
      <w:tr>
        <w:tc>
          <w:tcPr>
            <w:tcW w:type="dxa" w:w="3784"/>
          </w:tcPr>
          <w:p>
            <w:r/>
            <w:r>
              <w:rPr>
                <w:rFonts w:ascii="Arial" w:hAnsi="Arial"/>
                <w:b w:val="0"/>
                <w:sz w:val="16"/>
              </w:rPr>
              <w:t>100</w:t>
            </w:r>
          </w:p>
        </w:tc>
        <w:tc>
          <w:tcPr>
            <w:tcW w:type="dxa" w:w="3784"/>
          </w:tcPr>
          <w:p>
            <w:r/>
            <w:r>
              <w:rPr>
                <w:rFonts w:ascii="Arial" w:hAnsi="Arial"/>
                <w:b w:val="0"/>
                <w:sz w:val="16"/>
              </w:rPr>
              <w:t>Surface isobare</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101</w:t>
            </w:r>
          </w:p>
        </w:tc>
        <w:tc>
          <w:tcPr>
            <w:tcW w:type="dxa" w:w="3784"/>
          </w:tcPr>
          <w:p>
            <w:r/>
            <w:r>
              <w:rPr>
                <w:rFonts w:ascii="Arial" w:hAnsi="Arial"/>
                <w:b w:val="0"/>
                <w:sz w:val="16"/>
              </w:rPr>
              <w:t>Niveau moyen de la mer</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102</w:t>
            </w:r>
          </w:p>
        </w:tc>
        <w:tc>
          <w:tcPr>
            <w:tcW w:type="dxa" w:w="3784"/>
          </w:tcPr>
          <w:p>
            <w:r/>
            <w:r>
              <w:rPr>
                <w:rFonts w:ascii="Arial" w:hAnsi="Arial"/>
                <w:b w:val="0"/>
                <w:sz w:val="16"/>
              </w:rPr>
              <w:t>Altitude spécifiée (au-dessus du niveau moyen de la mer)</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103</w:t>
            </w:r>
          </w:p>
        </w:tc>
        <w:tc>
          <w:tcPr>
            <w:tcW w:type="dxa" w:w="3784"/>
          </w:tcPr>
          <w:p>
            <w:r/>
            <w:r>
              <w:rPr>
                <w:rFonts w:ascii="Arial" w:hAnsi="Arial"/>
                <w:b w:val="0"/>
                <w:sz w:val="16"/>
              </w:rPr>
              <w:t>Hauteur spécifiée (au-dessus du sol)</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104</w:t>
            </w:r>
          </w:p>
        </w:tc>
        <w:tc>
          <w:tcPr>
            <w:tcW w:type="dxa" w:w="3784"/>
          </w:tcPr>
          <w:p>
            <w:r/>
            <w:r>
              <w:rPr>
                <w:rFonts w:ascii="Arial" w:hAnsi="Arial"/>
                <w:b w:val="0"/>
                <w:sz w:val="16"/>
              </w:rPr>
              <w:t>Niveau sigma</w:t>
            </w:r>
          </w:p>
        </w:tc>
        <w:tc>
          <w:tcPr>
            <w:tcW w:type="dxa" w:w="3784"/>
          </w:tcPr>
          <w:p>
            <w:r/>
            <w:r>
              <w:rPr>
                <w:rFonts w:ascii="Arial" w:hAnsi="Arial"/>
                <w:b w:val="0"/>
                <w:sz w:val="16"/>
              </w:rPr>
              <w:t>Valeur "sigma"</w:t>
            </w:r>
          </w:p>
        </w:tc>
        <w:tc>
          <w:tcPr>
            <w:tcW w:type="dxa" w:w="3784"/>
          </w:tcPr>
          <w:p>
            <w:r/>
            <w:r>
              <w:rPr>
                <w:rFonts w:ascii="Arial" w:hAnsi="Arial"/>
                <w:b w:val="0"/>
                <w:sz w:val="16"/>
              </w:rPr>
            </w:r>
          </w:p>
        </w:tc>
      </w:tr>
      <w:tr>
        <w:tc>
          <w:tcPr>
            <w:tcW w:type="dxa" w:w="3784"/>
          </w:tcPr>
          <w:p>
            <w:r/>
            <w:r>
              <w:rPr>
                <w:rFonts w:ascii="Arial" w:hAnsi="Arial"/>
                <w:b w:val="0"/>
                <w:sz w:val="16"/>
              </w:rPr>
              <w:t>105</w:t>
            </w:r>
          </w:p>
        </w:tc>
        <w:tc>
          <w:tcPr>
            <w:tcW w:type="dxa" w:w="3784"/>
          </w:tcPr>
          <w:p>
            <w:r/>
            <w:r>
              <w:rPr>
                <w:rFonts w:ascii="Arial" w:hAnsi="Arial"/>
                <w:b w:val="0"/>
                <w:sz w:val="16"/>
              </w:rPr>
              <w:t>Niveau hybride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106</w:t>
            </w:r>
          </w:p>
        </w:tc>
        <w:tc>
          <w:tcPr>
            <w:tcW w:type="dxa" w:w="3784"/>
          </w:tcPr>
          <w:p>
            <w:r/>
            <w:r>
              <w:rPr>
                <w:rFonts w:ascii="Arial" w:hAnsi="Arial"/>
                <w:b w:val="0"/>
                <w:sz w:val="16"/>
              </w:rPr>
              <w:t>Profondeur sous la surface terrestre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107</w:t>
            </w:r>
          </w:p>
        </w:tc>
        <w:tc>
          <w:tcPr>
            <w:tcW w:type="dxa" w:w="3784"/>
          </w:tcPr>
          <w:p>
            <w:r/>
            <w:r>
              <w:rPr>
                <w:rFonts w:ascii="Arial" w:hAnsi="Arial"/>
                <w:b w:val="0"/>
                <w:sz w:val="16"/>
              </w:rPr>
              <w:t>Niveau isentropique (thêta)</w:t>
            </w:r>
          </w:p>
        </w:tc>
        <w:tc>
          <w:tcPr>
            <w:tcW w:type="dxa" w:w="3784"/>
          </w:tcPr>
          <w:p>
            <w:r/>
            <w:r>
              <w:rPr>
                <w:rFonts w:ascii="Arial" w:hAnsi="Arial"/>
                <w:b w:val="0"/>
                <w:sz w:val="16"/>
              </w:rPr>
              <w:t>K</w:t>
            </w:r>
          </w:p>
        </w:tc>
        <w:tc>
          <w:tcPr>
            <w:tcW w:type="dxa" w:w="3784"/>
          </w:tcPr>
          <w:p>
            <w:r/>
            <w:r>
              <w:rPr>
                <w:rFonts w:ascii="Arial" w:hAnsi="Arial"/>
                <w:b w:val="0"/>
                <w:sz w:val="16"/>
              </w:rPr>
            </w:r>
          </w:p>
        </w:tc>
      </w:tr>
      <w:tr>
        <w:tc>
          <w:tcPr>
            <w:tcW w:type="dxa" w:w="3784"/>
          </w:tcPr>
          <w:p>
            <w:r/>
            <w:r>
              <w:rPr>
                <w:rFonts w:ascii="Arial" w:hAnsi="Arial"/>
                <w:b w:val="0"/>
                <w:sz w:val="16"/>
              </w:rPr>
              <w:t>108</w:t>
            </w:r>
          </w:p>
        </w:tc>
        <w:tc>
          <w:tcPr>
            <w:tcW w:type="dxa" w:w="3784"/>
          </w:tcPr>
          <w:p>
            <w:r/>
            <w:r>
              <w:rPr>
                <w:rFonts w:ascii="Arial" w:hAnsi="Arial"/>
                <w:b w:val="0"/>
                <w:sz w:val="16"/>
              </w:rPr>
              <w:t>Niveau défini par la différence de pression avec la pression au sol</w:t>
            </w:r>
          </w:p>
        </w:tc>
        <w:tc>
          <w:tcPr>
            <w:tcW w:type="dxa" w:w="3784"/>
          </w:tcPr>
          <w:p>
            <w:r/>
            <w:r>
              <w:rPr>
                <w:rFonts w:ascii="Arial" w:hAnsi="Arial"/>
                <w:b w:val="0"/>
                <w:sz w:val="16"/>
              </w:rPr>
              <w:t>Pa</w:t>
            </w:r>
          </w:p>
        </w:tc>
        <w:tc>
          <w:tcPr>
            <w:tcW w:type="dxa" w:w="3784"/>
          </w:tcPr>
          <w:p>
            <w:r/>
            <w:r>
              <w:rPr>
                <w:rFonts w:ascii="Arial" w:hAnsi="Arial"/>
                <w:b w:val="0"/>
                <w:sz w:val="16"/>
              </w:rPr>
            </w:r>
          </w:p>
        </w:tc>
      </w:tr>
      <w:tr>
        <w:tc>
          <w:tcPr>
            <w:tcW w:type="dxa" w:w="3784"/>
          </w:tcPr>
          <w:p>
            <w:r/>
            <w:r>
              <w:rPr>
                <w:rFonts w:ascii="Arial" w:hAnsi="Arial"/>
                <w:b w:val="0"/>
                <w:sz w:val="16"/>
              </w:rPr>
              <w:t>109</w:t>
            </w:r>
          </w:p>
        </w:tc>
        <w:tc>
          <w:tcPr>
            <w:tcW w:type="dxa" w:w="3784"/>
          </w:tcPr>
          <w:p>
            <w:r/>
            <w:r>
              <w:rPr>
                <w:rFonts w:ascii="Arial" w:hAnsi="Arial"/>
                <w:b w:val="0"/>
                <w:sz w:val="16"/>
              </w:rPr>
              <w:t>Surface du tourbillon potentiel</w:t>
            </w:r>
          </w:p>
        </w:tc>
        <w:tc>
          <w:tcPr>
            <w:tcW w:type="dxa" w:w="3784"/>
          </w:tcPr>
          <w:p>
            <w:r/>
            <w:r>
              <w:rPr>
                <w:rFonts w:ascii="Arial" w:hAnsi="Arial"/>
                <w:b w:val="0"/>
                <w:sz w:val="16"/>
              </w:rPr>
              <w:t>K m² kg-1 s-1</w:t>
            </w:r>
          </w:p>
        </w:tc>
        <w:tc>
          <w:tcPr>
            <w:tcW w:type="dxa" w:w="3784"/>
          </w:tcPr>
          <w:p>
            <w:r/>
            <w:r>
              <w:rPr>
                <w:rFonts w:ascii="Arial" w:hAnsi="Arial"/>
                <w:b w:val="0"/>
                <w:sz w:val="16"/>
              </w:rPr>
            </w:r>
          </w:p>
        </w:tc>
      </w:tr>
      <w:tr>
        <w:tc>
          <w:tcPr>
            <w:tcW w:type="dxa" w:w="3784"/>
          </w:tcPr>
          <w:p>
            <w:r/>
            <w:r>
              <w:rPr>
                <w:rFonts w:ascii="Arial" w:hAnsi="Arial"/>
                <w:b w:val="0"/>
                <w:sz w:val="16"/>
              </w:rPr>
              <w:t>110</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111</w:t>
            </w:r>
          </w:p>
        </w:tc>
        <w:tc>
          <w:tcPr>
            <w:tcW w:type="dxa" w:w="3784"/>
          </w:tcPr>
          <w:p>
            <w:r/>
            <w:r>
              <w:rPr>
                <w:rFonts w:ascii="Arial" w:hAnsi="Arial"/>
                <w:b w:val="0"/>
                <w:sz w:val="16"/>
              </w:rPr>
              <w:t>Niveau ETA</w:t>
            </w:r>
          </w:p>
        </w:tc>
        <w:tc>
          <w:tcPr>
            <w:tcW w:type="dxa" w:w="3784"/>
          </w:tcPr>
          <w:p>
            <w:r/>
            <w:r>
              <w:rPr>
                <w:rFonts w:ascii="Arial" w:hAnsi="Arial"/>
                <w:b w:val="0"/>
                <w:sz w:val="16"/>
              </w:rPr>
              <w:t>–</w:t>
            </w:r>
          </w:p>
        </w:tc>
        <w:tc>
          <w:tcPr>
            <w:tcW w:type="dxa" w:w="3784"/>
          </w:tcPr>
          <w:p>
            <w:r/>
            <w:r>
              <w:rPr>
                <w:rFonts w:ascii="Arial" w:hAnsi="Arial"/>
                <w:b w:val="0"/>
                <w:sz w:val="16"/>
              </w:rPr>
              <w:t>Note 85: Le système de coordonnées verticales ETA consiste à normaliser la pression à un point donné d'un niveau spécifique par la pression du niveau moyen de la mer à ce point.</w:t>
            </w:r>
          </w:p>
        </w:tc>
      </w:tr>
      <w:tr>
        <w:tc>
          <w:tcPr>
            <w:tcW w:type="dxa" w:w="3784"/>
          </w:tcPr>
          <w:p>
            <w:r/>
            <w:r>
              <w:rPr>
                <w:rFonts w:ascii="Arial" w:hAnsi="Arial"/>
                <w:b w:val="0"/>
                <w:sz w:val="16"/>
              </w:rPr>
              <w:t>112</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113</w:t>
            </w:r>
          </w:p>
        </w:tc>
        <w:tc>
          <w:tcPr>
            <w:tcW w:type="dxa" w:w="3784"/>
          </w:tcPr>
          <w:p>
            <w:r/>
            <w:r>
              <w:rPr>
                <w:rFonts w:ascii="Arial" w:hAnsi="Arial"/>
                <w:b w:val="0"/>
                <w:sz w:val="16"/>
              </w:rPr>
              <w:t>Niveau hybride logarithmique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114</w:t>
            </w:r>
          </w:p>
        </w:tc>
        <w:tc>
          <w:tcPr>
            <w:tcW w:type="dxa" w:w="3784"/>
          </w:tcPr>
          <w:p>
            <w:r/>
            <w:r>
              <w:rPr>
                <w:rFonts w:ascii="Arial" w:hAnsi="Arial"/>
                <w:b w:val="0"/>
                <w:sz w:val="16"/>
              </w:rPr>
              <w:t>Enneigement</w:t>
            </w:r>
          </w:p>
        </w:tc>
        <w:tc>
          <w:tcPr>
            <w:tcW w:type="dxa" w:w="3784"/>
          </w:tcPr>
          <w:p>
            <w:r/>
            <w:r>
              <w:rPr>
                <w:rFonts w:ascii="Arial" w:hAnsi="Arial"/>
                <w:b w:val="0"/>
                <w:sz w:val="16"/>
              </w:rPr>
              <w:t>Numérique</w:t>
            </w:r>
          </w:p>
        </w:tc>
        <w:tc>
          <w:tcPr>
            <w:tcW w:type="dxa" w:w="3784"/>
          </w:tcPr>
          <w:p>
            <w:r/>
            <w:r>
              <w:rPr>
                <w:rFonts w:ascii="Arial" w:hAnsi="Arial"/>
                <w:b w:val="0"/>
                <w:sz w:val="16"/>
              </w:rPr>
            </w:r>
          </w:p>
        </w:tc>
      </w:tr>
      <w:tr>
        <w:tc>
          <w:tcPr>
            <w:tcW w:type="dxa" w:w="3784"/>
          </w:tcPr>
          <w:p>
            <w:r/>
            <w:r>
              <w:rPr>
                <w:rFonts w:ascii="Arial" w:hAnsi="Arial"/>
                <w:b w:val="0"/>
                <w:sz w:val="16"/>
              </w:rPr>
              <w:t>115</w:t>
            </w:r>
          </w:p>
        </w:tc>
        <w:tc>
          <w:tcPr>
            <w:tcW w:type="dxa" w:w="3784"/>
          </w:tcPr>
          <w:p>
            <w:r/>
            <w:r>
              <w:rPr>
                <w:rFonts w:ascii="Arial" w:hAnsi="Arial"/>
                <w:b w:val="0"/>
                <w:sz w:val="16"/>
              </w:rPr>
              <w:t>Altitude sigma</w:t>
            </w:r>
          </w:p>
        </w:tc>
        <w:tc>
          <w:tcPr>
            <w:tcW w:type="dxa" w:w="3784"/>
          </w:tcPr>
          <w:p>
            <w:r/>
            <w:r>
              <w:rPr>
                <w:rFonts w:ascii="Arial" w:hAnsi="Arial"/>
                <w:b w:val="0"/>
                <w:sz w:val="16"/>
              </w:rPr>
              <w:t>–</w:t>
            </w:r>
          </w:p>
        </w:tc>
        <w:tc>
          <w:tcPr>
            <w:tcW w:type="dxa" w:w="3784"/>
          </w:tcPr>
          <w:p>
            <w:r/>
            <w:r>
              <w:rPr>
                <w:rFonts w:ascii="Arial" w:hAnsi="Arial"/>
                <w:b w:val="0"/>
                <w:sz w:val="16"/>
              </w:rPr>
              <w:t>Note 75: Par altitude sigma on entend le niveau vertical du modèle qui correspond à la coordonnée suivant le terrain basée sur l'altitude (Gal-Chen et Somerville, 1975). Sa valeur est la suivante: (altitude du niveau – altitude du terrain) / (altitude du niveau supérieur – altitude du terrain), qui est ≥ 0 et ≤ 1.</w:t>
            </w:r>
          </w:p>
        </w:tc>
      </w:tr>
      <w:tr>
        <w:tc>
          <w:tcPr>
            <w:tcW w:type="dxa" w:w="3784"/>
          </w:tcPr>
          <w:p>
            <w:r/>
            <w:r>
              <w:rPr>
                <w:rFonts w:ascii="Arial" w:hAnsi="Arial"/>
                <w:b w:val="0"/>
                <w:sz w:val="16"/>
              </w:rPr>
              <w:t>116</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117</w:t>
            </w:r>
          </w:p>
        </w:tc>
        <w:tc>
          <w:tcPr>
            <w:tcW w:type="dxa" w:w="3784"/>
          </w:tcPr>
          <w:p>
            <w:r/>
            <w:r>
              <w:rPr>
                <w:rFonts w:ascii="Arial" w:hAnsi="Arial"/>
                <w:b w:val="0"/>
                <w:sz w:val="16"/>
              </w:rPr>
              <w:t>Épaisseur de la couche de mélange</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118</w:t>
            </w:r>
          </w:p>
        </w:tc>
        <w:tc>
          <w:tcPr>
            <w:tcW w:type="dxa" w:w="3784"/>
          </w:tcPr>
          <w:p>
            <w:r/>
            <w:r>
              <w:rPr>
                <w:rFonts w:ascii="Arial" w:hAnsi="Arial"/>
                <w:b w:val="0"/>
                <w:sz w:val="16"/>
              </w:rPr>
              <w:t>Hauteur hybride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119</w:t>
            </w:r>
          </w:p>
        </w:tc>
        <w:tc>
          <w:tcPr>
            <w:tcW w:type="dxa" w:w="3784"/>
          </w:tcPr>
          <w:p>
            <w:r/>
            <w:r>
              <w:rPr>
                <w:rFonts w:ascii="Arial" w:hAnsi="Arial"/>
                <w:b w:val="0"/>
                <w:sz w:val="16"/>
              </w:rPr>
              <w:t>Niveau barique hybride</w:t>
            </w:r>
          </w:p>
        </w:tc>
        <w:tc>
          <w:tcPr>
            <w:tcW w:type="dxa" w:w="3784"/>
          </w:tcPr>
          <w:p>
            <w:r/>
            <w:r>
              <w:rPr>
                <w:rFonts w:ascii="Arial" w:hAnsi="Arial"/>
                <w:b w:val="0"/>
                <w:sz w:val="16"/>
              </w:rPr>
              <w:t>–</w:t>
            </w:r>
          </w:p>
        </w:tc>
        <w:tc>
          <w:tcPr>
            <w:tcW w:type="dxa" w:w="3784"/>
          </w:tcPr>
          <w:p>
            <w:r/>
            <w:r>
              <w:rPr>
                <w:rFonts w:ascii="Arial" w:hAnsi="Arial"/>
                <w:b w:val="0"/>
                <w:sz w:val="16"/>
              </w:rPr>
              <w:t>Note 55: Le niveau barique formulé en coordonnées hybrides, pour lequel il y a lieu d’utiliser le chiffre de code 119 et non plus 105, se définit comme suit: p(k) = A(k) + B(k) x sp (k = 1, ... , N niveaux; sp = pression en surface; p(k) = pression au niveau k)</w:t>
            </w:r>
          </w:p>
        </w:tc>
      </w:tr>
      <w:tr>
        <w:tc>
          <w:tcPr>
            <w:tcW w:type="dxa" w:w="3784"/>
          </w:tcPr>
          <w:p>
            <w:r/>
            <w:r>
              <w:rPr>
                <w:rFonts w:ascii="Arial" w:hAnsi="Arial"/>
                <w:b w:val="0"/>
                <w:sz w:val="16"/>
              </w:rPr>
              <w:t>120-149</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150</w:t>
            </w:r>
          </w:p>
        </w:tc>
        <w:tc>
          <w:tcPr>
            <w:tcW w:type="dxa" w:w="3784"/>
          </w:tcPr>
          <w:p>
            <w:r/>
            <w:r>
              <w:rPr>
                <w:rFonts w:ascii="Arial" w:hAnsi="Arial"/>
                <w:b w:val="0"/>
                <w:sz w:val="16"/>
              </w:rPr>
              <w:t>Coordonnée généralisée de la hauteur verticale</w:t>
            </w:r>
          </w:p>
        </w:tc>
        <w:tc>
          <w:tcPr>
            <w:tcW w:type="dxa" w:w="3784"/>
          </w:tcPr>
          <w:p>
            <w:r/>
            <w:r>
              <w:rPr>
                <w:rFonts w:ascii="Arial" w:hAnsi="Arial"/>
                <w:b w:val="0"/>
                <w:sz w:val="16"/>
              </w:rPr>
              <w:t>–</w:t>
            </w:r>
          </w:p>
        </w:tc>
        <w:tc>
          <w:tcPr>
            <w:tcW w:type="dxa" w:w="3784"/>
          </w:tcPr>
          <w:p>
            <w:r/>
            <w:r>
              <w:rPr>
                <w:rFonts w:ascii="Arial" w:hAnsi="Arial"/>
                <w:b w:val="0"/>
                <w:sz w:val="16"/>
              </w:rPr>
              <w:t>(voir la note 5)</w:t>
            </w:r>
          </w:p>
        </w:tc>
      </w:tr>
      <w:tr>
        <w:tc>
          <w:tcPr>
            <w:tcW w:type="dxa" w:w="3784"/>
          </w:tcPr>
          <w:p>
            <w:r/>
            <w:r>
              <w:rPr>
                <w:rFonts w:ascii="Arial" w:hAnsi="Arial"/>
                <w:b w:val="0"/>
                <w:sz w:val="16"/>
              </w:rPr>
              <w:t>151</w:t>
            </w:r>
          </w:p>
        </w:tc>
        <w:tc>
          <w:tcPr>
            <w:tcW w:type="dxa" w:w="3784"/>
          </w:tcPr>
          <w:p>
            <w:r/>
            <w:r>
              <w:rPr>
                <w:rFonts w:ascii="Arial" w:hAnsi="Arial"/>
                <w:b w:val="0"/>
                <w:sz w:val="16"/>
              </w:rPr>
              <w:t>Niveau du sol</w:t>
            </w:r>
          </w:p>
        </w:tc>
        <w:tc>
          <w:tcPr>
            <w:tcW w:type="dxa" w:w="3784"/>
          </w:tcPr>
          <w:p>
            <w:r/>
            <w:r>
              <w:rPr>
                <w:rFonts w:ascii="Arial" w:hAnsi="Arial"/>
                <w:b w:val="0"/>
                <w:sz w:val="16"/>
              </w:rPr>
              <w:t>Numérique</w:t>
            </w:r>
          </w:p>
        </w:tc>
        <w:tc>
          <w:tcPr>
            <w:tcW w:type="dxa" w:w="3784"/>
          </w:tcPr>
          <w:p>
            <w:r/>
            <w:r>
              <w:rPr>
                <w:rFonts w:ascii="Arial" w:hAnsi="Arial"/>
                <w:b w:val="0"/>
                <w:sz w:val="16"/>
              </w:rPr>
              <w:t>(voir la note 6)</w:t>
            </w:r>
          </w:p>
        </w:tc>
      </w:tr>
      <w:tr>
        <w:tc>
          <w:tcPr>
            <w:tcW w:type="dxa" w:w="3784"/>
          </w:tcPr>
          <w:p>
            <w:r/>
            <w:r>
              <w:rPr>
                <w:rFonts w:ascii="Arial" w:hAnsi="Arial"/>
                <w:b w:val="0"/>
                <w:sz w:val="16"/>
              </w:rPr>
              <w:t>152-159</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160</w:t>
            </w:r>
          </w:p>
        </w:tc>
        <w:tc>
          <w:tcPr>
            <w:tcW w:type="dxa" w:w="3784"/>
          </w:tcPr>
          <w:p>
            <w:r/>
            <w:r>
              <w:rPr>
                <w:rFonts w:ascii="Arial" w:hAnsi="Arial"/>
                <w:b w:val="0"/>
                <w:sz w:val="16"/>
              </w:rPr>
              <w:t>Profondeur sous le niveau de la mer</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161</w:t>
            </w:r>
          </w:p>
        </w:tc>
        <w:tc>
          <w:tcPr>
            <w:tcW w:type="dxa" w:w="3784"/>
          </w:tcPr>
          <w:p>
            <w:r/>
            <w:r>
              <w:rPr>
                <w:rFonts w:ascii="Arial" w:hAnsi="Arial"/>
                <w:b w:val="0"/>
                <w:sz w:val="16"/>
              </w:rPr>
              <w:t>Profondeur sous la surface de l'eau</w:t>
            </w:r>
          </w:p>
        </w:tc>
        <w:tc>
          <w:tcPr>
            <w:tcW w:type="dxa" w:w="3784"/>
          </w:tcPr>
          <w:p>
            <w:r/>
            <w:r>
              <w:rPr>
                <w:rFonts w:ascii="Arial" w:hAnsi="Arial"/>
                <w:b w:val="0"/>
                <w:sz w:val="16"/>
              </w:rPr>
              <w:t>m</w:t>
            </w:r>
          </w:p>
        </w:tc>
        <w:tc>
          <w:tcPr>
            <w:tcW w:type="dxa" w:w="3784"/>
          </w:tcPr>
          <w:p>
            <w:r/>
            <w:r>
              <w:rPr>
                <w:rFonts w:ascii="Arial" w:hAnsi="Arial"/>
                <w:b w:val="0"/>
                <w:sz w:val="16"/>
              </w:rPr>
            </w:r>
          </w:p>
        </w:tc>
      </w:tr>
      <w:tr>
        <w:tc>
          <w:tcPr>
            <w:tcW w:type="dxa" w:w="3784"/>
          </w:tcPr>
          <w:p>
            <w:r/>
            <w:r>
              <w:rPr>
                <w:rFonts w:ascii="Arial" w:hAnsi="Arial"/>
                <w:b w:val="0"/>
                <w:sz w:val="16"/>
              </w:rPr>
              <w:t>162</w:t>
            </w:r>
          </w:p>
        </w:tc>
        <w:tc>
          <w:tcPr>
            <w:tcW w:type="dxa" w:w="3784"/>
          </w:tcPr>
          <w:p>
            <w:r/>
            <w:r>
              <w:rPr>
                <w:rFonts w:ascii="Arial" w:hAnsi="Arial"/>
                <w:b w:val="0"/>
                <w:sz w:val="16"/>
              </w:rPr>
              <w:t>Fond du lac ou du cours d'eau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163</w:t>
            </w:r>
          </w:p>
        </w:tc>
        <w:tc>
          <w:tcPr>
            <w:tcW w:type="dxa" w:w="3784"/>
          </w:tcPr>
          <w:p>
            <w:r/>
            <w:r>
              <w:rPr>
                <w:rFonts w:ascii="Arial" w:hAnsi="Arial"/>
                <w:b w:val="0"/>
                <w:sz w:val="16"/>
              </w:rPr>
              <w:t>Fond de la couche sédimentaire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164</w:t>
            </w:r>
          </w:p>
        </w:tc>
        <w:tc>
          <w:tcPr>
            <w:tcW w:type="dxa" w:w="3784"/>
          </w:tcPr>
          <w:p>
            <w:r/>
            <w:r>
              <w:rPr>
                <w:rFonts w:ascii="Arial" w:hAnsi="Arial"/>
                <w:b w:val="0"/>
                <w:sz w:val="16"/>
              </w:rPr>
              <w:t>Fond de la couche sédimentaire thermiquement active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165</w:t>
            </w:r>
          </w:p>
        </w:tc>
        <w:tc>
          <w:tcPr>
            <w:tcW w:type="dxa" w:w="3784"/>
          </w:tcPr>
          <w:p>
            <w:r/>
            <w:r>
              <w:rPr>
                <w:rFonts w:ascii="Arial" w:hAnsi="Arial"/>
                <w:b w:val="0"/>
                <w:sz w:val="16"/>
              </w:rPr>
              <w:t>Fond de la couche sédimentaire pénétrée par l'onde thermique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166</w:t>
            </w:r>
          </w:p>
        </w:tc>
        <w:tc>
          <w:tcPr>
            <w:tcW w:type="dxa" w:w="3784"/>
          </w:tcPr>
          <w:p>
            <w:r/>
            <w:r>
              <w:rPr>
                <w:rFonts w:ascii="Arial" w:hAnsi="Arial"/>
                <w:b w:val="0"/>
                <w:sz w:val="16"/>
              </w:rPr>
              <w:t>Couche de mélange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167</w:t>
            </w:r>
          </w:p>
        </w:tc>
        <w:tc>
          <w:tcPr>
            <w:tcW w:type="dxa" w:w="3784"/>
          </w:tcPr>
          <w:p>
            <w:r/>
            <w:r>
              <w:rPr>
                <w:rFonts w:ascii="Arial" w:hAnsi="Arial"/>
                <w:b w:val="0"/>
                <w:sz w:val="16"/>
              </w:rPr>
              <w:t>Partie inférieure de la rhizosphère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168</w:t>
            </w:r>
          </w:p>
        </w:tc>
        <w:tc>
          <w:tcPr>
            <w:tcW w:type="dxa" w:w="3784"/>
          </w:tcPr>
          <w:p>
            <w:r/>
            <w:r>
              <w:rPr>
                <w:rFonts w:ascii="Arial" w:hAnsi="Arial"/>
                <w:b w:val="0"/>
                <w:sz w:val="16"/>
              </w:rPr>
              <w:t>Niveau du modèle océanique</w:t>
            </w:r>
          </w:p>
        </w:tc>
        <w:tc>
          <w:tcPr>
            <w:tcW w:type="dxa" w:w="3784"/>
          </w:tcPr>
          <w:p>
            <w:r/>
            <w:r>
              <w:rPr>
                <w:rFonts w:ascii="Arial" w:hAnsi="Arial"/>
                <w:b w:val="0"/>
                <w:sz w:val="16"/>
              </w:rPr>
              <w:t>Numérique</w:t>
            </w:r>
          </w:p>
        </w:tc>
        <w:tc>
          <w:tcPr>
            <w:tcW w:type="dxa" w:w="3784"/>
          </w:tcPr>
          <w:p>
            <w:r/>
            <w:r>
              <w:rPr>
                <w:rFonts w:ascii="Arial" w:hAnsi="Arial"/>
                <w:b w:val="0"/>
                <w:sz w:val="16"/>
              </w:rPr>
            </w:r>
          </w:p>
        </w:tc>
      </w:tr>
      <w:tr>
        <w:tc>
          <w:tcPr>
            <w:tcW w:type="dxa" w:w="3784"/>
          </w:tcPr>
          <w:p>
            <w:r/>
            <w:r>
              <w:rPr>
                <w:rFonts w:ascii="Arial" w:hAnsi="Arial"/>
                <w:b w:val="0"/>
                <w:sz w:val="16"/>
              </w:rPr>
              <w:t>169</w:t>
            </w:r>
          </w:p>
        </w:tc>
        <w:tc>
          <w:tcPr>
            <w:tcW w:type="dxa" w:w="3784"/>
          </w:tcPr>
          <w:p>
            <w:r/>
            <w:r>
              <w:rPr>
                <w:rFonts w:ascii="Arial" w:hAnsi="Arial"/>
                <w:b w:val="0"/>
                <w:sz w:val="16"/>
              </w:rPr>
              <w:t>Niveau océanique défini par l'écart de masse volumique de l'eau (sigma-theta) avec la proximité de la surface</w:t>
            </w:r>
          </w:p>
        </w:tc>
        <w:tc>
          <w:tcPr>
            <w:tcW w:type="dxa" w:w="3784"/>
          </w:tcPr>
          <w:p>
            <w:r/>
            <w:r>
              <w:rPr>
                <w:rFonts w:ascii="Arial" w:hAnsi="Arial"/>
                <w:b w:val="0"/>
                <w:sz w:val="16"/>
              </w:rPr>
              <w:t>kg m-3</w:t>
            </w:r>
          </w:p>
        </w:tc>
        <w:tc>
          <w:tcPr>
            <w:tcW w:type="dxa" w:w="3784"/>
          </w:tcPr>
          <w:p>
            <w:r/>
            <w:r>
              <w:rPr>
                <w:rFonts w:ascii="Arial" w:hAnsi="Arial"/>
                <w:b w:val="0"/>
                <w:sz w:val="16"/>
              </w:rPr>
              <w:t>Note 18: Le niveau est défini par l'écart entre la proximité de la surface et le niveau s'agissant d'une propriété de l'eau. La proximité de la surface se situe généralement à 10 mètres de profondeur. La quantité physique utilisée pour calculer l'écart peut être la masse volumique de l'eau (σθ), pour le chiffre du code 169, ou la température potentielle de l'eau (θ), pour le chiffre du code 170.</w:t>
            </w:r>
          </w:p>
        </w:tc>
      </w:tr>
      <w:tr>
        <w:tc>
          <w:tcPr>
            <w:tcW w:type="dxa" w:w="3784"/>
          </w:tcPr>
          <w:p>
            <w:r/>
            <w:r>
              <w:rPr>
                <w:rFonts w:ascii="Arial" w:hAnsi="Arial"/>
                <w:b w:val="0"/>
                <w:sz w:val="16"/>
              </w:rPr>
              <w:t>170</w:t>
            </w:r>
          </w:p>
        </w:tc>
        <w:tc>
          <w:tcPr>
            <w:tcW w:type="dxa" w:w="3784"/>
          </w:tcPr>
          <w:p>
            <w:r/>
            <w:r>
              <w:rPr>
                <w:rFonts w:ascii="Arial" w:hAnsi="Arial"/>
                <w:b w:val="0"/>
                <w:sz w:val="16"/>
              </w:rPr>
              <w:t>Niveau océanique défini par l'écart de température potentielle de l'eau (theta) avec la proximité de la surface</w:t>
            </w:r>
          </w:p>
        </w:tc>
        <w:tc>
          <w:tcPr>
            <w:tcW w:type="dxa" w:w="3784"/>
          </w:tcPr>
          <w:p>
            <w:r/>
            <w:r>
              <w:rPr>
                <w:rFonts w:ascii="Arial" w:hAnsi="Arial"/>
                <w:b w:val="0"/>
                <w:sz w:val="16"/>
              </w:rPr>
            </w:r>
          </w:p>
        </w:tc>
        <w:tc>
          <w:tcPr>
            <w:tcW w:type="dxa" w:w="3784"/>
          </w:tcPr>
          <w:p>
            <w:r/>
            <w:r>
              <w:rPr>
                <w:rFonts w:ascii="Arial" w:hAnsi="Arial"/>
                <w:b w:val="0"/>
                <w:sz w:val="16"/>
              </w:rPr>
              <w:t>(voir la note 7)</w:t>
            </w:r>
          </w:p>
        </w:tc>
      </w:tr>
      <w:tr>
        <w:tc>
          <w:tcPr>
            <w:tcW w:type="dxa" w:w="3784"/>
          </w:tcPr>
          <w:p>
            <w:r/>
            <w:r>
              <w:rPr>
                <w:rFonts w:ascii="Arial" w:hAnsi="Arial"/>
                <w:b w:val="0"/>
                <w:sz w:val="16"/>
              </w:rPr>
              <w:t>171-173</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174</w:t>
            </w:r>
          </w:p>
        </w:tc>
        <w:tc>
          <w:tcPr>
            <w:tcW w:type="dxa" w:w="3784"/>
          </w:tcPr>
          <w:p>
            <w:r/>
            <w:r>
              <w:rPr>
                <w:rFonts w:ascii="Arial" w:hAnsi="Arial"/>
                <w:b w:val="0"/>
                <w:sz w:val="16"/>
              </w:rPr>
              <w:t>Surface supérieure de la glace présente sur la mer, un lac ou un cours d'eau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175</w:t>
            </w:r>
          </w:p>
        </w:tc>
        <w:tc>
          <w:tcPr>
            <w:tcW w:type="dxa" w:w="3784"/>
          </w:tcPr>
          <w:p>
            <w:r/>
            <w:r>
              <w:rPr>
                <w:rFonts w:ascii="Arial" w:hAnsi="Arial"/>
                <w:b w:val="0"/>
                <w:sz w:val="16"/>
              </w:rPr>
              <w:t>Surface supérieure de la glace, couverte de neige, présente sur la mer, un lac ou un cours d'eau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176</w:t>
            </w:r>
          </w:p>
        </w:tc>
        <w:tc>
          <w:tcPr>
            <w:tcW w:type="dxa" w:w="3784"/>
          </w:tcPr>
          <w:p>
            <w:r/>
            <w:r>
              <w:rPr>
                <w:rFonts w:ascii="Arial" w:hAnsi="Arial"/>
                <w:b w:val="0"/>
                <w:sz w:val="16"/>
              </w:rPr>
              <w:t>Surface inférieure (face inférieure) de la glace présente sur la mer, un lac ou un cours d'eau</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177</w:t>
            </w:r>
          </w:p>
        </w:tc>
        <w:tc>
          <w:tcPr>
            <w:tcW w:type="dxa" w:w="3784"/>
          </w:tcPr>
          <w:p>
            <w:r/>
            <w:r>
              <w:rPr>
                <w:rFonts w:ascii="Arial" w:hAnsi="Arial"/>
                <w:b w:val="0"/>
                <w:sz w:val="16"/>
              </w:rPr>
              <w:t>Sol profond (d'une profondeur indéterminée)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178</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179</w:t>
            </w:r>
          </w:p>
        </w:tc>
        <w:tc>
          <w:tcPr>
            <w:tcW w:type="dxa" w:w="3784"/>
          </w:tcPr>
          <w:p>
            <w:r/>
            <w:r>
              <w:rPr>
                <w:rFonts w:ascii="Arial" w:hAnsi="Arial"/>
                <w:b w:val="0"/>
                <w:sz w:val="16"/>
              </w:rPr>
              <w:t>Surface supérieure de la glace de glacier ou d'inlandsis</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180</w:t>
            </w:r>
          </w:p>
        </w:tc>
        <w:tc>
          <w:tcPr>
            <w:tcW w:type="dxa" w:w="3784"/>
          </w:tcPr>
          <w:p>
            <w:r/>
            <w:r>
              <w:rPr>
                <w:rFonts w:ascii="Arial" w:hAnsi="Arial"/>
                <w:b w:val="0"/>
                <w:sz w:val="16"/>
              </w:rPr>
              <w:t>Glace profonde d'inlandsis ou de glacier (d'une profondeur indéterminée)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181</w:t>
            </w:r>
          </w:p>
        </w:tc>
        <w:tc>
          <w:tcPr>
            <w:tcW w:type="dxa" w:w="3784"/>
          </w:tcPr>
          <w:p>
            <w:r/>
            <w:r>
              <w:rPr>
                <w:rFonts w:ascii="Arial" w:hAnsi="Arial"/>
                <w:b w:val="0"/>
                <w:sz w:val="16"/>
              </w:rPr>
              <w:t>Fraction de dalle représentant une surface terrestre comme surface de modèle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182</w:t>
            </w:r>
          </w:p>
        </w:tc>
        <w:tc>
          <w:tcPr>
            <w:tcW w:type="dxa" w:w="3784"/>
          </w:tcPr>
          <w:p>
            <w:r/>
            <w:r>
              <w:rPr>
                <w:rFonts w:ascii="Arial" w:hAnsi="Arial"/>
                <w:b w:val="0"/>
                <w:sz w:val="16"/>
              </w:rPr>
              <w:t>Fraction de dalle représentant une surface d'eau comme surface de modèle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183</w:t>
            </w:r>
          </w:p>
        </w:tc>
        <w:tc>
          <w:tcPr>
            <w:tcW w:type="dxa" w:w="3784"/>
          </w:tcPr>
          <w:p>
            <w:r/>
            <w:r>
              <w:rPr>
                <w:rFonts w:ascii="Arial" w:hAnsi="Arial"/>
                <w:b w:val="0"/>
                <w:sz w:val="16"/>
              </w:rPr>
              <w:t>Fraction de dalle représentant une surface de glace présente sur la mer, un lac ou un cours d'eau comme surface de modèle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184</w:t>
            </w:r>
          </w:p>
        </w:tc>
        <w:tc>
          <w:tcPr>
            <w:tcW w:type="dxa" w:w="3784"/>
          </w:tcPr>
          <w:p>
            <w:r/>
            <w:r>
              <w:rPr>
                <w:rFonts w:ascii="Arial" w:hAnsi="Arial"/>
                <w:b w:val="0"/>
                <w:sz w:val="16"/>
              </w:rPr>
              <w:t>Fraction de dalle représentant de la glace de glacier ou d'inlandsis comme surface de modèle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185-191</w:t>
            </w:r>
          </w:p>
        </w:tc>
        <w:tc>
          <w:tcPr>
            <w:tcW w:type="dxa" w:w="3784"/>
          </w:tcPr>
          <w:p>
            <w:r/>
            <w:r>
              <w:rPr>
                <w:rFonts w:ascii="Arial" w:hAnsi="Arial"/>
                <w:b w:val="0"/>
                <w:sz w:val="16"/>
              </w:rPr>
              <w:t>En réserve</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192-254</w:t>
            </w:r>
          </w:p>
        </w:tc>
        <w:tc>
          <w:tcPr>
            <w:tcW w:type="dxa" w:w="3784"/>
          </w:tcPr>
          <w:p>
            <w:r/>
            <w:r>
              <w:rPr>
                <w:rFonts w:ascii="Arial" w:hAnsi="Arial"/>
                <w:b w:val="0"/>
                <w:sz w:val="16"/>
              </w:rPr>
              <w:t>En réserve pour un usage local</w:t>
            </w:r>
          </w:p>
        </w:tc>
        <w:tc>
          <w:tcPr>
            <w:tcW w:type="dxa" w:w="3784"/>
          </w:tcPr>
          <w:p>
            <w:r/>
            <w:r>
              <w:rPr>
                <w:rFonts w:ascii="Arial" w:hAnsi="Arial"/>
                <w:b w:val="0"/>
                <w:sz w:val="16"/>
              </w:rPr>
              <w:t>–</w:t>
            </w:r>
          </w:p>
        </w:tc>
        <w:tc>
          <w:tcPr>
            <w:tcW w:type="dxa" w:w="3784"/>
          </w:tcPr>
          <w:p>
            <w:r/>
            <w:r>
              <w:rPr>
                <w:rFonts w:ascii="Arial" w:hAnsi="Arial"/>
                <w:b w:val="0"/>
                <w:sz w:val="16"/>
              </w:rPr>
            </w:r>
          </w:p>
        </w:tc>
      </w:tr>
      <w:tr>
        <w:tc>
          <w:tcPr>
            <w:tcW w:type="dxa" w:w="3784"/>
          </w:tcPr>
          <w:p>
            <w:r/>
            <w:r>
              <w:rPr>
                <w:rFonts w:ascii="Arial" w:hAnsi="Arial"/>
                <w:b w:val="0"/>
                <w:sz w:val="16"/>
              </w:rPr>
              <w:t>255</w:t>
            </w:r>
          </w:p>
        </w:tc>
        <w:tc>
          <w:tcPr>
            <w:tcW w:type="dxa" w:w="3784"/>
          </w:tcPr>
          <w:p>
            <w:r/>
            <w:r>
              <w:rPr>
                <w:rFonts w:ascii="Arial" w:hAnsi="Arial"/>
                <w:b w:val="0"/>
                <w:sz w:val="16"/>
              </w:rPr>
              <w:t>Valeur manquante</w:t>
            </w:r>
          </w:p>
        </w:tc>
        <w:tc>
          <w:tcPr>
            <w:tcW w:type="dxa" w:w="3784"/>
          </w:tcPr>
          <w:p>
            <w:r/>
            <w:r>
              <w:rPr>
                <w:rFonts w:ascii="Arial" w:hAnsi="Arial"/>
                <w:b w:val="0"/>
                <w:sz w:val="16"/>
              </w:rPr>
              <w:t>–</w:t>
            </w:r>
          </w:p>
        </w:tc>
        <w:tc>
          <w:tcPr>
            <w:tcW w:type="dxa" w:w="3784"/>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