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4.7 – Prévision dérivée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Moyenne non pondérée de tous les membres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Moyenne pondérée de tous les membres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Écart type par rapport à la moyenne du groupe de membres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Écart type par rapport à la moyenne du groupe de membres, normalisé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Dispersion de l'ensemble des membres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Indice de grande anomalie pour l'ensemble des membres (voir la note 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67: L'indice de grande anomalie se définit comme suit: {(nombre de membres dont l'anomalie est supérieure à 0,5 x SD) – (nombre de membres dont l'anomalie est inférieure à -0,5 x SD)} / (nombre de membres) à chaque point de grille, SD étant l'écart type climatologique observé.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Moyenne non pondérée des membres du groupe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Amplitude interquartile (entre le 25e et le 75e quantiles)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Minimum de tous les membres de l'ensemble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63: Le «minimum de tous les membres de l'ensemble» et le «maximum de tous les membres de l'ensemble» renvoient au groupe des membres de l'ensemble, et non à un intervalle de temps; ils ne doivent pas être confondus avec le maximum et le minimum décrits dans le modèle de définition du produit 4.8.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Maximum de tous les membres de l'ensemble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63: Le «minimum de tous les membres de l'ensemble» et le «maximum de tous les membres de l'ensemble» renvoient au groupe des membres de l'ensemble, et non à un intervalle de temps; ils ne doivent pas être confondus avec le maximum et le minimum décrits dans le modèle de définition du produit 4.8.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