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4.11 — Prévision d'ensemble prise séparément, de contrôle ou «perturbée», pour une surface ou une couche horizontale, durant un intervalle de temps continu ou non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prévision d'ensemble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de la perturbation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prévisions dans l'ensemble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38-39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Fin de l'intervalle de temps complet - Année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Fin de l'intervalle de temps complet - Mois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Fin de l'intervalle de temps complet - Jour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Fin de l'intervalle de temps complet - Heure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Fin de l'intervalle de temps complet - Minute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Fin de l'intervalle de temps complet - Seconde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Nombre des spécifications décrivant les intervalles de temps sur lesquels porte le calcul statistique du champ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46-49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total de valeurs manquantes dans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50-61   Spécification de l'intervalle de temps le plus éloigné (ou intervalle de temps unique) sur lequel porte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Calcul statistique ayant permis d'obtenir le champ élaboré à partir du champ à chaque incrément de temps durant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d'incrément de temps entre les champs successifs employé pour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l'unité de temps employée pour l'intervalle de temps sur lequel porte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53-56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Durée de l'intervalle de temps sur lequel porte le calcul statistique, exprimée dans l'unité indiquée par l'octet précédent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l'unité de temps employée pour l'incrément de temps entre les champs successifs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58-61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Incrément de temps entre les champs successifs, exprimé dans l'unité indiquée par l'octet précédent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les notes 3 et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62-nn   Ces octets figurent dans le message uniquement si n&gt;1, nn = 49 + 12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62-73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Même contenu que les octets 50 à 61, pour l'étape suivante du calcul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Spécifications des intervalles de temps supplémentaires, incluses en fonction de la valeur de n. Le contenu est le même que celui des octets 50 à 61, répétés au besoin.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