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22"/>
        </w:rPr>
        <w:t>Modèle de définition du produit 4.34 — Prévision d'ensemble prise séparément, de contrôle ou «perturbée», pour une surface ou une couche horizontale, durant un intervalle de temps continu ou non, relative aux données satellite simulées (de synthèse)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8"/>
        <w:gridCol w:w="3028"/>
        <w:gridCol w:w="3028"/>
        <w:gridCol w:w="3028"/>
        <w:gridCol w:w="3028"/>
      </w:tblGrid>
      <w:tr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Octet No.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Count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Contents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Note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Code/Flag Table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10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Catégorie du paramètre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(voir la table de code 4.1)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4.1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Numéro du paramètre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(voir la table de code 4.2)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4.2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Type du processus de production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(voir la table de code 4.3)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4.3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13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Indicateur du processus de production de base (défini par le centre d'origine)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Indicateur du processus de production de l'analyse ou de la prévision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15-16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Limite (heures) de tombée des données d'observation après l'heure de référence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(voir la note 1)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17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Limite (minutes) de tombée des données d'observation après l'heure de référence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18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Indicateur d'unité de l'intervalle de temps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(voir la table de code 4.4)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4.4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19-22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Heure de la prévision exprimée dans l'unité précisée par l'octet 18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(voir la note 2)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23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Nombre de bandes spectrales prises en compte (NB)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24-   Répéter les 11 octets qui suivent pour chaque bande prise en compte (nb = 1, NB)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(24+11(nb-1))-(25+11(nb-1))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Séries des satellites - bande nb (table de code établie par le centre d'origine/ de production)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(26+11(nb-1))-(27+11(nb-1))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Numéros des satellites - bande nb (table de code établie par le centre d'origine/ de production)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(28+11(nb-1))-(29+11(nb-1))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Types d'instruments - bande nb (table de code établie par le centre d'origine/ de production)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(30+11(nb-1))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Facteur d'échelle du nombre d'ondes central - bande nb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(31+11(nb-1))-(34+11(nb-1))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Valeur ajustée du nombre d'ondes central – bande nb (unité: m-1)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(24+11NB)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Type de la prévision d'ensemble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(voir la table de code 4.6)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4.6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(25+11NB)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Numéro de la perturbation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(26+11NB)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Nombre de prévisions dans l'ensemble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(27+11NB)-(28+11NB)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Fin de l'intervalle de temps complet - Année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(29+11NB)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Fin de l'intervalle de temps complet - Mois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(30+11NB)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Fin de l'intervalle de temps complet - Jour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(31+11NB)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Fin de l'intervalle de temps complet - Heure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(32+11NB)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Fin de l'intervalle de temps complet - Minute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(33+11NB)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Fin de l'intervalle de temps complet - Seconde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(34+11NB)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n - Nombre des spécifications décrivant les intervalles de temps sur lesquels porte le calcul statistique du champ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(35+11NB)-(38+11NB)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Nombre total de valeurs manquantes dans le calcul statistique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(39+11NB)- Répéter les 12 octets qui suivent pour chaque spécification d'intervalle de temps (i = 1, n)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(39+11NB+12(i-1))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Calcul statistique ayant permis d'obtenir le champ élaboré à partir du champ à chaque incrément de temps durant l'intervalle de temps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(voir la table de code 4.10)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4.10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(40+11NB+12(i-1))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Type d'incrément de temps entre les champs successifs employé pour le calcul statistique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(voir la table de code 4.11)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4.11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(41+11NB+12(i-1))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Indicateur de l'unité de temps employée pour l'intervalle de temps sur lequel porte le calcul statistique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(voir la table de code 4.4)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4.4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(42+11NB+12(i-1))-(45+11NB+12(i-1))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Durée de l'intervalle de temps sur lequel porte le calcul statistique, exprimée dans l'unité indiquée par l'octet précédent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(46+11NB+12(i-1))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Indicateur de l'unité de temps employée pour l'incrément de temps entre les champs successifs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(voir la table de code 4.4)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4.4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(47+11NB+12(i-1))-(50+11NB+12(i-1))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Incrément de temps entre les champs successifs, exprimé dans l'unité indiquée par l'octet précédent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(voir les notes 3 et 4)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</w:tbl>
    <w:sectPr w:rsidR="00FC693F" w:rsidRPr="0006063C" w:rsidSect="00034616">
      <w:pgSz w:w="16838" w:h="11906" w:orient="landscape"/>
      <w:pgMar w:top="1440" w:right="850" w:bottom="144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