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4.42 — Valeurs moyennes, cumulées et/ou extrêmes, ou autres valeurs statistiques, pour une surface ou une couche horizontale, durant un intervalle de temps continu ou non, relatives aux constituants chimiques de l'atmosphère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constituants chimiques de l'atmosphère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4.230)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l'analyse ou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Année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Jour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nombre des spécifications décrivant les intervalles de temps sur lesquels porte le calcul statistique du champ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45-48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total de valeurs manquantes dans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49-60   Spécification de l'intervalle de temps le plus éloigné (ou intervalle de temps unique) sur lequel porte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Calcul statistique ayant permis d'obtenir le champ élaboré à partir du champ à chaque incrément de temps durant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d'incrément de temps entre les champs successifs employé pour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l'intervalle de temps sur lequel porte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Durée de l'intervalle de temps sur lequel porte le calcul statistique, exprimée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l'incrément de temps entre les champs successifs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57-60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Incrément de temps entre les champs successifs, exprimé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les notes 3 et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61-nn   Ces octets figurent dans le message uniquement si n&gt;1, nn = 48 + 12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Même contenu que les octets 49 à 60, pour l'étape suivante du calcul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Spécifications des intervalles de temps supplémentaires, incluses en fonction de la valeur de n. Le contenu est le même que celui des octets 49 à 60, répétés au besoin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