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4.47 — Prévision d'ensemble prise séparément, de contrôle ou «perturbée», pour une surface ou une couche horizontale, durant un intervalle de temps continu ou non, relative aux aérosols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13-14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d'aérosol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4.233)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d'intervalle pour la première et la deuxième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première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première taille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deuxième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deuxième taille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prévision d'ensemble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perturbation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Année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Mois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Jour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nombre des spécifications décrivant les intervalles de temps sur lesquels porte le calcul statistique du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59-62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valeurs manquantes dans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63-74   Spécification de l'intervalle de temps le plus éloigné (ou intervalle de temps unique)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ayant permis d'obtenir le champ élaboré à partir du champ à chaque incrément de temps durant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 entre les champs successifs employé pour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l'intervalle de temps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66-69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Durée de l'intervalle de temps sur lequel porte le calcul statistique, exprimée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l'incrément de temps entre les champs successifs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71-74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entre les champs successifs, exprimé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3 et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75-nn   Ces octets figurent dans le message uniquement si n&gt;1, nn = 62 + 12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Même contenu que les octets 63 à 74, pour l'étape suivante du calcul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Spécifications des intervalles de temps supplémentaires, incluses en fonction de la valeur de n. Le contenu est le même que celui des octets 63 à 74, répétés au besoin.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