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4.59 Prévision d'ensemble prise séparément, de contrôle ou «perturbée», pour une surface ou une couche horizontale, à un moment donné, relative aux paramètres de la dynamique spatio-temporelle des mosaïques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Classification des dalles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(NT) de paires de dalles ou de caractéristiques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1 et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dalles spatiales utilisées (NUT)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1 et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Indice de dalle (ITN = {1,..., NUT})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caractéristiques de dalle utilisées (NAT) pour ITN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Caractéristique de la dalle (A = {A(1),..., A(NAT(ITN))})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4.241)  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