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4.63 Prévision d'ensemble prise séparément, de contrôle ou «perturbée», pour une surface ou une couche horizontale, durant un intervalle de temps continu ou non, relative à la dynamique spatio-temporelle de mosaïques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Classification des dalles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(NT) de paires de dalles ou de caractéristiques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dalles spatiales utilisées (NUT)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1 et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Indice de dalle (ITN = {1,..., NUT})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caractéristiques de dalle utilisées (NAT) pour ITN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Caractéristique de la dalle (A = {A(1),..., A(NAT(ITN))})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4.241)  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56-67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5 et 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68-nn   Ces octets figurent dans le message uniquement si n&gt;1, nn = 55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56 à 67,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56 à 67, répétés au besoin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