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Modèle de définition du produit 4.68 Prévision d'ensemble prise séparément, de contrôle ou «perturbée», pour une surface ou une couche horizontale, durant un intervalle de temps continu ou non, relative aux constituants chimiques de l'atmosphère découlant d'une fonction de distribution</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Catégorie du paramètre</w:t>
            </w:r>
          </w:p>
        </w:tc>
        <w:tc>
          <w:tcPr>
            <w:tcW w:type="dxa" w:w="3028"/>
          </w:tcPr>
          <w:p>
            <w:r/>
            <w:r>
              <w:rPr>
                <w:rFonts w:ascii="Arial" w:hAnsi="Arial"/>
                <w:b w:val="0"/>
                <w:sz w:val="16"/>
              </w:rPr>
              <w:t>(voir la table de code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Numéro du paramètre</w:t>
            </w:r>
          </w:p>
        </w:tc>
        <w:tc>
          <w:tcPr>
            <w:tcW w:type="dxa" w:w="3028"/>
          </w:tcPr>
          <w:p>
            <w:r/>
            <w:r>
              <w:rPr>
                <w:rFonts w:ascii="Arial" w:hAnsi="Arial"/>
                <w:b w:val="0"/>
                <w:sz w:val="16"/>
              </w:rPr>
              <w:t>(voir la table de code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Type de constituants chimiques de l'atmosphère</w:t>
            </w:r>
          </w:p>
        </w:tc>
        <w:tc>
          <w:tcPr>
            <w:tcW w:type="dxa" w:w="3028"/>
          </w:tcPr>
          <w:p>
            <w:r/>
            <w:r>
              <w:rPr>
                <w:rFonts w:ascii="Arial" w:hAnsi="Arial"/>
                <w:b w:val="0"/>
                <w:sz w:val="16"/>
              </w:rPr>
              <w:t>(voir la table de code 4.230)</w:t>
            </w:r>
          </w:p>
        </w:tc>
        <w:tc>
          <w:tcPr>
            <w:tcW w:type="dxa" w:w="3028"/>
          </w:tcPr>
          <w:p>
            <w:r/>
            <w:r>
              <w:rPr>
                <w:rFonts w:ascii="Arial" w:hAnsi="Arial"/>
                <w:b w:val="0"/>
                <w:sz w:val="16"/>
              </w:rPr>
              <w:t>Code table 4.230</w:t>
            </w:r>
          </w:p>
        </w:tc>
      </w:tr>
      <w:tr>
        <w:tc>
          <w:tcPr>
            <w:tcW w:type="dxa" w:w="3028"/>
          </w:tcPr>
          <w:p>
            <w:r/>
            <w:r>
              <w:rPr>
                <w:rFonts w:ascii="Arial" w:hAnsi="Arial"/>
                <w:b w:val="0"/>
                <w:sz w:val="16"/>
              </w:rPr>
              <w:t>14-15</w:t>
            </w:r>
          </w:p>
        </w:tc>
        <w:tc>
          <w:tcPr>
            <w:tcW w:type="dxa" w:w="3028"/>
          </w:tcPr>
          <w:p>
            <w:r/>
            <w:r>
              <w:rPr>
                <w:rFonts w:ascii="Arial" w:hAnsi="Arial"/>
                <w:b w:val="0"/>
                <w:sz w:val="16"/>
              </w:rPr>
              <w:t>2</w:t>
            </w:r>
          </w:p>
        </w:tc>
        <w:tc>
          <w:tcPr>
            <w:tcW w:type="dxa" w:w="3028"/>
          </w:tcPr>
          <w:p>
            <w:r/>
            <w:r>
              <w:rPr>
                <w:rFonts w:ascii="Arial" w:hAnsi="Arial"/>
                <w:b w:val="0"/>
                <w:sz w:val="16"/>
              </w:rPr>
              <w:t>Nombre (N) de modes de la distribution</w:t>
            </w:r>
          </w:p>
        </w:tc>
        <w:tc>
          <w:tcPr>
            <w:tcW w:type="dxa" w:w="3028"/>
          </w:tcPr>
          <w:p>
            <w:r/>
            <w:r>
              <w:rPr>
                <w:rFonts w:ascii="Arial" w:hAnsi="Arial"/>
                <w:b w:val="0"/>
                <w:sz w:val="16"/>
              </w:rPr>
              <w:t>(voir la note 1)</w:t>
            </w:r>
          </w:p>
        </w:tc>
        <w:tc>
          <w:tcPr>
            <w:tcW w:type="dxa" w:w="3028"/>
          </w:tcPr>
          <w:p>
            <w:r/>
            <w:r>
              <w:rPr>
                <w:rFonts w:ascii="Arial" w:hAnsi="Arial"/>
                <w:b w:val="0"/>
                <w:sz w:val="16"/>
              </w:rPr>
            </w:r>
          </w:p>
        </w:tc>
      </w:tr>
      <w:tr>
        <w:tc>
          <w:tcPr>
            <w:tcW w:type="dxa" w:w="3028"/>
          </w:tcPr>
          <w:p>
            <w:r/>
            <w:r>
              <w:rPr>
                <w:rFonts w:ascii="Arial" w:hAnsi="Arial"/>
                <w:b w:val="0"/>
                <w:sz w:val="16"/>
              </w:rPr>
              <w:t>16-17</w:t>
            </w:r>
          </w:p>
        </w:tc>
        <w:tc>
          <w:tcPr>
            <w:tcW w:type="dxa" w:w="3028"/>
          </w:tcPr>
          <w:p>
            <w:r/>
            <w:r>
              <w:rPr>
                <w:rFonts w:ascii="Arial" w:hAnsi="Arial"/>
                <w:b w:val="0"/>
                <w:sz w:val="16"/>
              </w:rPr>
              <w:t>2</w:t>
            </w:r>
          </w:p>
        </w:tc>
        <w:tc>
          <w:tcPr>
            <w:tcW w:type="dxa" w:w="3028"/>
          </w:tcPr>
          <w:p>
            <w:r/>
            <w:r>
              <w:rPr>
                <w:rFonts w:ascii="Arial" w:hAnsi="Arial"/>
                <w:b w:val="0"/>
                <w:sz w:val="16"/>
              </w:rPr>
              <w:t>Numéro du mode (I)</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18-19</w:t>
            </w:r>
          </w:p>
        </w:tc>
        <w:tc>
          <w:tcPr>
            <w:tcW w:type="dxa" w:w="3028"/>
          </w:tcPr>
          <w:p>
            <w:r/>
            <w:r>
              <w:rPr>
                <w:rFonts w:ascii="Arial" w:hAnsi="Arial"/>
                <w:b w:val="0"/>
                <w:sz w:val="16"/>
              </w:rPr>
              <w:t>2</w:t>
            </w:r>
          </w:p>
        </w:tc>
        <w:tc>
          <w:tcPr>
            <w:tcW w:type="dxa" w:w="3028"/>
          </w:tcPr>
          <w:p>
            <w:r/>
            <w:r>
              <w:rPr>
                <w:rFonts w:ascii="Arial" w:hAnsi="Arial"/>
                <w:b w:val="0"/>
                <w:sz w:val="16"/>
              </w:rPr>
              <w:t>Type de fonction de distribution</w:t>
            </w:r>
          </w:p>
        </w:tc>
        <w:tc>
          <w:tcPr>
            <w:tcW w:type="dxa" w:w="3028"/>
          </w:tcPr>
          <w:p>
            <w:r/>
            <w:r>
              <w:rPr>
                <w:rFonts w:ascii="Arial" w:hAnsi="Arial"/>
                <w:b w:val="0"/>
                <w:sz w:val="16"/>
              </w:rPr>
              <w:t>(voir la table de code 4.240 et la note 2)</w:t>
            </w:r>
          </w:p>
        </w:tc>
        <w:tc>
          <w:tcPr>
            <w:tcW w:type="dxa" w:w="3028"/>
          </w:tcPr>
          <w:p>
            <w:r/>
            <w:r>
              <w:rPr>
                <w:rFonts w:ascii="Arial" w:hAnsi="Arial"/>
                <w:b w:val="0"/>
                <w:sz w:val="16"/>
              </w:rPr>
              <w:t>Code table 4.240</w:t>
            </w:r>
          </w:p>
        </w:tc>
      </w:tr>
      <w:tr>
        <w:tc>
          <w:tcPr>
            <w:tcW w:type="dxa" w:w="3028"/>
          </w:tcPr>
          <w:p>
            <w:r/>
            <w:r>
              <w:rPr>
                <w:rFonts w:ascii="Arial" w:hAnsi="Arial"/>
                <w:b w:val="0"/>
                <w:sz w:val="16"/>
              </w:rPr>
              <w:t>20</w:t>
            </w:r>
          </w:p>
        </w:tc>
        <w:tc>
          <w:tcPr>
            <w:tcW w:type="dxa" w:w="3028"/>
          </w:tcPr>
          <w:p>
            <w:r/>
            <w:r>
              <w:rPr>
                <w:rFonts w:ascii="Arial" w:hAnsi="Arial"/>
                <w:b w:val="0"/>
                <w:sz w:val="16"/>
              </w:rPr>
              <w:t>1</w:t>
            </w:r>
          </w:p>
        </w:tc>
        <w:tc>
          <w:tcPr>
            <w:tcW w:type="dxa" w:w="3028"/>
          </w:tcPr>
          <w:p>
            <w:r/>
            <w:r>
              <w:rPr>
                <w:rFonts w:ascii="Arial" w:hAnsi="Arial"/>
                <w:b w:val="0"/>
                <w:sz w:val="16"/>
              </w:rPr>
              <w:t>Nombre de paramètres de fonction qui suivent (Np), définis par le type indiqué aux octets 18-19 (Type de fonction de distribution)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Répéter les 5 octets qui suivent pour le nombre de paramètres de fonction (n = 1, Np), si Np &gt; 0</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21+5(n-1)</w:t>
            </w:r>
          </w:p>
        </w:tc>
        <w:tc>
          <w:tcPr>
            <w:tcW w:type="dxa" w:w="3028"/>
          </w:tcPr>
          <w:p>
            <w:r/>
            <w:r>
              <w:rPr>
                <w:rFonts w:ascii="Arial" w:hAnsi="Arial"/>
                <w:b w:val="0"/>
                <w:sz w:val="16"/>
              </w:rPr>
            </w:r>
          </w:p>
        </w:tc>
        <w:tc>
          <w:tcPr>
            <w:tcW w:type="dxa" w:w="3028"/>
          </w:tcPr>
          <w:p>
            <w:r/>
            <w:r>
              <w:rPr>
                <w:rFonts w:ascii="Arial" w:hAnsi="Arial"/>
                <w:b w:val="0"/>
                <w:sz w:val="16"/>
              </w:rPr>
              <w:t>Liste des facteurs d'échelle du paramètre fixe de la distribution (p1-pNp), défini par le type de distribution aux octets 18-19</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(22+5(n-1))-(25+5(n-1))</w:t>
            </w:r>
          </w:p>
        </w:tc>
        <w:tc>
          <w:tcPr>
            <w:tcW w:type="dxa" w:w="3028"/>
          </w:tcPr>
          <w:p>
            <w:r/>
            <w:r>
              <w:rPr>
                <w:rFonts w:ascii="Arial" w:hAnsi="Arial"/>
                <w:b w:val="0"/>
                <w:sz w:val="16"/>
              </w:rPr>
            </w:r>
          </w:p>
        </w:tc>
        <w:tc>
          <w:tcPr>
            <w:tcW w:type="dxa" w:w="3028"/>
          </w:tcPr>
          <w:p>
            <w:r/>
            <w:r>
              <w:rPr>
                <w:rFonts w:ascii="Arial" w:hAnsi="Arial"/>
                <w:b w:val="0"/>
                <w:sz w:val="16"/>
              </w:rPr>
              <w:t>Liste des valeurs ajustées du paramètre fixe de la distribution (p1-pNp), défini par le type de distribution aux octets 18-19</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21+5Np</w:t>
            </w:r>
          </w:p>
        </w:tc>
        <w:tc>
          <w:tcPr>
            <w:tcW w:type="dxa" w:w="3028"/>
          </w:tcPr>
          <w:p>
            <w:r/>
            <w:r>
              <w:rPr>
                <w:rFonts w:ascii="Arial" w:hAnsi="Arial"/>
                <w:b w:val="0"/>
                <w:sz w:val="16"/>
              </w:rPr>
            </w:r>
          </w:p>
        </w:tc>
        <w:tc>
          <w:tcPr>
            <w:tcW w:type="dxa" w:w="3028"/>
          </w:tcPr>
          <w:p>
            <w:r/>
            <w:r>
              <w:rPr>
                <w:rFonts w:ascii="Arial" w:hAnsi="Arial"/>
                <w:b w:val="0"/>
                <w:sz w:val="16"/>
              </w:rPr>
              <w:t>Type du processus de production</w:t>
            </w:r>
          </w:p>
        </w:tc>
        <w:tc>
          <w:tcPr>
            <w:tcW w:type="dxa" w:w="3028"/>
          </w:tcPr>
          <w:p>
            <w:r/>
            <w:r>
              <w:rPr>
                <w:rFonts w:ascii="Arial" w:hAnsi="Arial"/>
                <w:b w:val="0"/>
                <w:sz w:val="16"/>
              </w:rPr>
              <w:t>(voir la table de code 4.3)</w:t>
            </w:r>
          </w:p>
        </w:tc>
        <w:tc>
          <w:tcPr>
            <w:tcW w:type="dxa" w:w="3028"/>
          </w:tcPr>
          <w:p>
            <w:r/>
            <w:r>
              <w:rPr>
                <w:rFonts w:ascii="Arial" w:hAnsi="Arial"/>
                <w:b w:val="0"/>
                <w:sz w:val="16"/>
              </w:rPr>
              <w:t>Code table 4.3</w:t>
            </w:r>
          </w:p>
        </w:tc>
      </w:tr>
      <w:tr>
        <w:tc>
          <w:tcPr>
            <w:tcW w:type="dxa" w:w="3028"/>
          </w:tcPr>
          <w:p>
            <w:r/>
            <w:r>
              <w:rPr>
                <w:rFonts w:ascii="Arial" w:hAnsi="Arial"/>
                <w:b w:val="0"/>
                <w:sz w:val="16"/>
              </w:rPr>
              <w:t>22+5Np</w:t>
            </w:r>
          </w:p>
        </w:tc>
        <w:tc>
          <w:tcPr>
            <w:tcW w:type="dxa" w:w="3028"/>
          </w:tcPr>
          <w:p>
            <w:r/>
            <w:r>
              <w:rPr>
                <w:rFonts w:ascii="Arial" w:hAnsi="Arial"/>
                <w:b w:val="0"/>
                <w:sz w:val="16"/>
              </w:rPr>
            </w:r>
          </w:p>
        </w:tc>
        <w:tc>
          <w:tcPr>
            <w:tcW w:type="dxa" w:w="3028"/>
          </w:tcPr>
          <w:p>
            <w:r/>
            <w:r>
              <w:rPr>
                <w:rFonts w:ascii="Arial" w:hAnsi="Arial"/>
                <w:b w:val="0"/>
                <w:sz w:val="16"/>
              </w:rPr>
              <w:t>Indicateur du processus de production de base (défini par le centre d'origine)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23+5Np</w:t>
            </w:r>
          </w:p>
        </w:tc>
        <w:tc>
          <w:tcPr>
            <w:tcW w:type="dxa" w:w="3028"/>
          </w:tcPr>
          <w:p>
            <w:r/>
            <w:r>
              <w:rPr>
                <w:rFonts w:ascii="Arial" w:hAnsi="Arial"/>
                <w:b w:val="0"/>
                <w:sz w:val="16"/>
              </w:rPr>
            </w:r>
          </w:p>
        </w:tc>
        <w:tc>
          <w:tcPr>
            <w:tcW w:type="dxa" w:w="3028"/>
          </w:tcPr>
          <w:p>
            <w:r/>
            <w:r>
              <w:rPr>
                <w:rFonts w:ascii="Arial" w:hAnsi="Arial"/>
                <w:b w:val="0"/>
                <w:sz w:val="16"/>
              </w:rPr>
              <w:t>Indicateur du processus de production de l'analyse ou de la prévision (défini par le centre d'origine)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(24+5Np)-(25+5Np)</w:t>
            </w:r>
          </w:p>
        </w:tc>
        <w:tc>
          <w:tcPr>
            <w:tcW w:type="dxa" w:w="3028"/>
          </w:tcPr>
          <w:p>
            <w:r/>
            <w:r>
              <w:rPr>
                <w:rFonts w:ascii="Arial" w:hAnsi="Arial"/>
                <w:b w:val="0"/>
                <w:sz w:val="16"/>
              </w:rPr>
            </w:r>
          </w:p>
        </w:tc>
        <w:tc>
          <w:tcPr>
            <w:tcW w:type="dxa" w:w="3028"/>
          </w:tcPr>
          <w:p>
            <w:r/>
            <w:r>
              <w:rPr>
                <w:rFonts w:ascii="Arial" w:hAnsi="Arial"/>
                <w:b w:val="0"/>
                <w:sz w:val="16"/>
              </w:rPr>
              <w:t>Limite (heures) de tombée des données d'observation après l'heure de référence</w:t>
            </w:r>
          </w:p>
        </w:tc>
        <w:tc>
          <w:tcPr>
            <w:tcW w:type="dxa" w:w="3028"/>
          </w:tcPr>
          <w:p>
            <w:r/>
            <w:r>
              <w:rPr>
                <w:rFonts w:ascii="Arial" w:hAnsi="Arial"/>
                <w:b w:val="0"/>
                <w:sz w:val="16"/>
              </w:rPr>
              <w:t>(voir la note 3)</w:t>
            </w:r>
          </w:p>
        </w:tc>
        <w:tc>
          <w:tcPr>
            <w:tcW w:type="dxa" w:w="3028"/>
          </w:tcPr>
          <w:p>
            <w:r/>
            <w:r>
              <w:rPr>
                <w:rFonts w:ascii="Arial" w:hAnsi="Arial"/>
                <w:b w:val="0"/>
                <w:sz w:val="16"/>
              </w:rPr>
            </w:r>
          </w:p>
        </w:tc>
      </w:tr>
      <w:tr>
        <w:tc>
          <w:tcPr>
            <w:tcW w:type="dxa" w:w="3028"/>
          </w:tcPr>
          <w:p>
            <w:r/>
            <w:r>
              <w:rPr>
                <w:rFonts w:ascii="Arial" w:hAnsi="Arial"/>
                <w:b w:val="0"/>
                <w:sz w:val="16"/>
              </w:rPr>
              <w:t>26+5Np</w:t>
            </w:r>
          </w:p>
        </w:tc>
        <w:tc>
          <w:tcPr>
            <w:tcW w:type="dxa" w:w="3028"/>
          </w:tcPr>
          <w:p>
            <w:r/>
            <w:r>
              <w:rPr>
                <w:rFonts w:ascii="Arial" w:hAnsi="Arial"/>
                <w:b w:val="0"/>
                <w:sz w:val="16"/>
              </w:rPr>
            </w:r>
          </w:p>
        </w:tc>
        <w:tc>
          <w:tcPr>
            <w:tcW w:type="dxa" w:w="3028"/>
          </w:tcPr>
          <w:p>
            <w:r/>
            <w:r>
              <w:rPr>
                <w:rFonts w:ascii="Arial" w:hAnsi="Arial"/>
                <w:b w:val="0"/>
                <w:sz w:val="16"/>
              </w:rPr>
              <w:t>Limite (minutes) de tombée des données d'observation après l'heure de référence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27+5Np</w:t>
            </w:r>
          </w:p>
        </w:tc>
        <w:tc>
          <w:tcPr>
            <w:tcW w:type="dxa" w:w="3028"/>
          </w:tcPr>
          <w:p>
            <w:r/>
            <w:r>
              <w:rPr>
                <w:rFonts w:ascii="Arial" w:hAnsi="Arial"/>
                <w:b w:val="0"/>
                <w:sz w:val="16"/>
              </w:rPr>
            </w:r>
          </w:p>
        </w:tc>
        <w:tc>
          <w:tcPr>
            <w:tcW w:type="dxa" w:w="3028"/>
          </w:tcPr>
          <w:p>
            <w:r/>
            <w:r>
              <w:rPr>
                <w:rFonts w:ascii="Arial" w:hAnsi="Arial"/>
                <w:b w:val="0"/>
                <w:sz w:val="16"/>
              </w:rPr>
              <w:t>Indicateur d'unité de l'intervalle de temps</w:t>
            </w:r>
          </w:p>
        </w:tc>
        <w:tc>
          <w:tcPr>
            <w:tcW w:type="dxa" w:w="3028"/>
          </w:tcPr>
          <w:p>
            <w:r/>
            <w:r>
              <w:rPr>
                <w:rFonts w:ascii="Arial" w:hAnsi="Arial"/>
                <w:b w:val="0"/>
                <w:sz w:val="16"/>
              </w:rPr>
              <w:t>(voir la table de code 4.4)</w:t>
            </w:r>
          </w:p>
        </w:tc>
        <w:tc>
          <w:tcPr>
            <w:tcW w:type="dxa" w:w="3028"/>
          </w:tcPr>
          <w:p>
            <w:r/>
            <w:r>
              <w:rPr>
                <w:rFonts w:ascii="Arial" w:hAnsi="Arial"/>
                <w:b w:val="0"/>
                <w:sz w:val="16"/>
              </w:rPr>
              <w:t>Code table 4.4</w:t>
            </w:r>
          </w:p>
        </w:tc>
      </w:tr>
      <w:tr>
        <w:tc>
          <w:tcPr>
            <w:tcW w:type="dxa" w:w="3028"/>
          </w:tcPr>
          <w:p>
            <w:r/>
            <w:r>
              <w:rPr>
                <w:rFonts w:ascii="Arial" w:hAnsi="Arial"/>
                <w:b w:val="0"/>
                <w:sz w:val="16"/>
              </w:rPr>
              <w:t>(28+5Np)-(31+5Np)</w:t>
            </w:r>
          </w:p>
        </w:tc>
        <w:tc>
          <w:tcPr>
            <w:tcW w:type="dxa" w:w="3028"/>
          </w:tcPr>
          <w:p>
            <w:r/>
            <w:r>
              <w:rPr>
                <w:rFonts w:ascii="Arial" w:hAnsi="Arial"/>
                <w:b w:val="0"/>
                <w:sz w:val="16"/>
              </w:rPr>
            </w:r>
          </w:p>
        </w:tc>
        <w:tc>
          <w:tcPr>
            <w:tcW w:type="dxa" w:w="3028"/>
          </w:tcPr>
          <w:p>
            <w:r/>
            <w:r>
              <w:rPr>
                <w:rFonts w:ascii="Arial" w:hAnsi="Arial"/>
                <w:b w:val="0"/>
                <w:sz w:val="16"/>
              </w:rPr>
              <w:t>Heure de la prévision exprimée dans l'unité précisée par l'octet précédent</w:t>
            </w:r>
          </w:p>
        </w:tc>
        <w:tc>
          <w:tcPr>
            <w:tcW w:type="dxa" w:w="3028"/>
          </w:tcPr>
          <w:p>
            <w:r/>
            <w:r>
              <w:rPr>
                <w:rFonts w:ascii="Arial" w:hAnsi="Arial"/>
                <w:b w:val="0"/>
                <w:sz w:val="16"/>
              </w:rPr>
              <w:t>(voir la note 4)</w:t>
            </w:r>
          </w:p>
        </w:tc>
        <w:tc>
          <w:tcPr>
            <w:tcW w:type="dxa" w:w="3028"/>
          </w:tcPr>
          <w:p>
            <w:r/>
            <w:r>
              <w:rPr>
                <w:rFonts w:ascii="Arial" w:hAnsi="Arial"/>
                <w:b w:val="0"/>
                <w:sz w:val="16"/>
              </w:rPr>
            </w:r>
          </w:p>
        </w:tc>
      </w:tr>
      <w:tr>
        <w:tc>
          <w:tcPr>
            <w:tcW w:type="dxa" w:w="3028"/>
          </w:tcPr>
          <w:p>
            <w:r/>
            <w:r>
              <w:rPr>
                <w:rFonts w:ascii="Arial" w:hAnsi="Arial"/>
                <w:b w:val="0"/>
                <w:sz w:val="16"/>
              </w:rPr>
              <w:t>32+5Np</w:t>
            </w:r>
          </w:p>
        </w:tc>
        <w:tc>
          <w:tcPr>
            <w:tcW w:type="dxa" w:w="3028"/>
          </w:tcPr>
          <w:p>
            <w:r/>
            <w:r>
              <w:rPr>
                <w:rFonts w:ascii="Arial" w:hAnsi="Arial"/>
                <w:b w:val="0"/>
                <w:sz w:val="16"/>
              </w:rPr>
            </w:r>
          </w:p>
        </w:tc>
        <w:tc>
          <w:tcPr>
            <w:tcW w:type="dxa" w:w="3028"/>
          </w:tcPr>
          <w:p>
            <w:r/>
            <w:r>
              <w:rPr>
                <w:rFonts w:ascii="Arial" w:hAnsi="Arial"/>
                <w:b w:val="0"/>
                <w:sz w:val="16"/>
              </w:rPr>
              <w:t>Type de la première surface spécifiée</w:t>
            </w:r>
          </w:p>
        </w:tc>
        <w:tc>
          <w:tcPr>
            <w:tcW w:type="dxa" w:w="3028"/>
          </w:tcPr>
          <w:p>
            <w:r/>
            <w:r>
              <w:rPr>
                <w:rFonts w:ascii="Arial" w:hAnsi="Arial"/>
                <w:b w:val="0"/>
                <w:sz w:val="16"/>
              </w:rPr>
              <w:t>(voir la table de code 4.5)</w:t>
            </w:r>
          </w:p>
        </w:tc>
        <w:tc>
          <w:tcPr>
            <w:tcW w:type="dxa" w:w="3028"/>
          </w:tcPr>
          <w:p>
            <w:r/>
            <w:r>
              <w:rPr>
                <w:rFonts w:ascii="Arial" w:hAnsi="Arial"/>
                <w:b w:val="0"/>
                <w:sz w:val="16"/>
              </w:rPr>
              <w:t>Code table 4.5</w:t>
            </w:r>
          </w:p>
        </w:tc>
      </w:tr>
      <w:tr>
        <w:tc>
          <w:tcPr>
            <w:tcW w:type="dxa" w:w="3028"/>
          </w:tcPr>
          <w:p>
            <w:r/>
            <w:r>
              <w:rPr>
                <w:rFonts w:ascii="Arial" w:hAnsi="Arial"/>
                <w:b w:val="0"/>
                <w:sz w:val="16"/>
              </w:rPr>
              <w:t>33+5Np</w:t>
            </w:r>
          </w:p>
        </w:tc>
        <w:tc>
          <w:tcPr>
            <w:tcW w:type="dxa" w:w="3028"/>
          </w:tcPr>
          <w:p>
            <w:r/>
            <w:r>
              <w:rPr>
                <w:rFonts w:ascii="Arial" w:hAnsi="Arial"/>
                <w:b w:val="0"/>
                <w:sz w:val="16"/>
              </w:rPr>
            </w:r>
          </w:p>
        </w:tc>
        <w:tc>
          <w:tcPr>
            <w:tcW w:type="dxa" w:w="3028"/>
          </w:tcPr>
          <w:p>
            <w:r/>
            <w:r>
              <w:rPr>
                <w:rFonts w:ascii="Arial" w:hAnsi="Arial"/>
                <w:b w:val="0"/>
                <w:sz w:val="16"/>
              </w:rPr>
              <w:t>Facteur d'échelle - première surface spécifiée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(34+5Np)-(37+5Np)</w:t>
            </w:r>
          </w:p>
        </w:tc>
        <w:tc>
          <w:tcPr>
            <w:tcW w:type="dxa" w:w="3028"/>
          </w:tcPr>
          <w:p>
            <w:r/>
            <w:r>
              <w:rPr>
                <w:rFonts w:ascii="Arial" w:hAnsi="Arial"/>
                <w:b w:val="0"/>
                <w:sz w:val="16"/>
              </w:rPr>
            </w:r>
          </w:p>
        </w:tc>
        <w:tc>
          <w:tcPr>
            <w:tcW w:type="dxa" w:w="3028"/>
          </w:tcPr>
          <w:p>
            <w:r/>
            <w:r>
              <w:rPr>
                <w:rFonts w:ascii="Arial" w:hAnsi="Arial"/>
                <w:b w:val="0"/>
                <w:sz w:val="16"/>
              </w:rPr>
              <w:t>Valeur ajustée - première surface spécifiée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38+5Np</w:t>
            </w:r>
          </w:p>
        </w:tc>
        <w:tc>
          <w:tcPr>
            <w:tcW w:type="dxa" w:w="3028"/>
          </w:tcPr>
          <w:p>
            <w:r/>
            <w:r>
              <w:rPr>
                <w:rFonts w:ascii="Arial" w:hAnsi="Arial"/>
                <w:b w:val="0"/>
                <w:sz w:val="16"/>
              </w:rPr>
            </w:r>
          </w:p>
        </w:tc>
        <w:tc>
          <w:tcPr>
            <w:tcW w:type="dxa" w:w="3028"/>
          </w:tcPr>
          <w:p>
            <w:r/>
            <w:r>
              <w:rPr>
                <w:rFonts w:ascii="Arial" w:hAnsi="Arial"/>
                <w:b w:val="0"/>
                <w:sz w:val="16"/>
              </w:rPr>
              <w:t>Type de la deuxième surface spécifiée</w:t>
            </w:r>
          </w:p>
        </w:tc>
        <w:tc>
          <w:tcPr>
            <w:tcW w:type="dxa" w:w="3028"/>
          </w:tcPr>
          <w:p>
            <w:r/>
            <w:r>
              <w:rPr>
                <w:rFonts w:ascii="Arial" w:hAnsi="Arial"/>
                <w:b w:val="0"/>
                <w:sz w:val="16"/>
              </w:rPr>
              <w:t>(voir la table de code 4.5)</w:t>
            </w:r>
          </w:p>
        </w:tc>
        <w:tc>
          <w:tcPr>
            <w:tcW w:type="dxa" w:w="3028"/>
          </w:tcPr>
          <w:p>
            <w:r/>
            <w:r>
              <w:rPr>
                <w:rFonts w:ascii="Arial" w:hAnsi="Arial"/>
                <w:b w:val="0"/>
                <w:sz w:val="16"/>
              </w:rPr>
              <w:t>Code table 4.5</w:t>
            </w:r>
          </w:p>
        </w:tc>
      </w:tr>
      <w:tr>
        <w:tc>
          <w:tcPr>
            <w:tcW w:type="dxa" w:w="3028"/>
          </w:tcPr>
          <w:p>
            <w:r/>
            <w:r>
              <w:rPr>
                <w:rFonts w:ascii="Arial" w:hAnsi="Arial"/>
                <w:b w:val="0"/>
                <w:sz w:val="16"/>
              </w:rPr>
              <w:t>39+5Np</w:t>
            </w:r>
          </w:p>
        </w:tc>
        <w:tc>
          <w:tcPr>
            <w:tcW w:type="dxa" w:w="3028"/>
          </w:tcPr>
          <w:p>
            <w:r/>
            <w:r>
              <w:rPr>
                <w:rFonts w:ascii="Arial" w:hAnsi="Arial"/>
                <w:b w:val="0"/>
                <w:sz w:val="16"/>
              </w:rPr>
            </w:r>
          </w:p>
        </w:tc>
        <w:tc>
          <w:tcPr>
            <w:tcW w:type="dxa" w:w="3028"/>
          </w:tcPr>
          <w:p>
            <w:r/>
            <w:r>
              <w:rPr>
                <w:rFonts w:ascii="Arial" w:hAnsi="Arial"/>
                <w:b w:val="0"/>
                <w:sz w:val="16"/>
              </w:rPr>
              <w:t>Facteur d'échelle - deuxième surface spécifiée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(40+5Np)-(43+5Np)</w:t>
            </w:r>
          </w:p>
        </w:tc>
        <w:tc>
          <w:tcPr>
            <w:tcW w:type="dxa" w:w="3028"/>
          </w:tcPr>
          <w:p>
            <w:r/>
            <w:r>
              <w:rPr>
                <w:rFonts w:ascii="Arial" w:hAnsi="Arial"/>
                <w:b w:val="0"/>
                <w:sz w:val="16"/>
              </w:rPr>
            </w:r>
          </w:p>
        </w:tc>
        <w:tc>
          <w:tcPr>
            <w:tcW w:type="dxa" w:w="3028"/>
          </w:tcPr>
          <w:p>
            <w:r/>
            <w:r>
              <w:rPr>
                <w:rFonts w:ascii="Arial" w:hAnsi="Arial"/>
                <w:b w:val="0"/>
                <w:sz w:val="16"/>
              </w:rPr>
              <w:t>Valeur ajustée - deuxième surface spécifiée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44+5Np</w:t>
            </w:r>
          </w:p>
        </w:tc>
        <w:tc>
          <w:tcPr>
            <w:tcW w:type="dxa" w:w="3028"/>
          </w:tcPr>
          <w:p>
            <w:r/>
            <w:r>
              <w:rPr>
                <w:rFonts w:ascii="Arial" w:hAnsi="Arial"/>
                <w:b w:val="0"/>
                <w:sz w:val="16"/>
              </w:rPr>
            </w:r>
          </w:p>
        </w:tc>
        <w:tc>
          <w:tcPr>
            <w:tcW w:type="dxa" w:w="3028"/>
          </w:tcPr>
          <w:p>
            <w:r/>
            <w:r>
              <w:rPr>
                <w:rFonts w:ascii="Arial" w:hAnsi="Arial"/>
                <w:b w:val="0"/>
                <w:sz w:val="16"/>
              </w:rPr>
              <w:t>Type de la prévision d'ensemble</w:t>
            </w:r>
          </w:p>
        </w:tc>
        <w:tc>
          <w:tcPr>
            <w:tcW w:type="dxa" w:w="3028"/>
          </w:tcPr>
          <w:p>
            <w:r/>
            <w:r>
              <w:rPr>
                <w:rFonts w:ascii="Arial" w:hAnsi="Arial"/>
                <w:b w:val="0"/>
                <w:sz w:val="16"/>
              </w:rPr>
              <w:t>(voir la table de code 4.6)</w:t>
            </w:r>
          </w:p>
        </w:tc>
        <w:tc>
          <w:tcPr>
            <w:tcW w:type="dxa" w:w="3028"/>
          </w:tcPr>
          <w:p>
            <w:r/>
            <w:r>
              <w:rPr>
                <w:rFonts w:ascii="Arial" w:hAnsi="Arial"/>
                <w:b w:val="0"/>
                <w:sz w:val="16"/>
              </w:rPr>
              <w:t>Code table 4.6</w:t>
            </w:r>
          </w:p>
        </w:tc>
      </w:tr>
      <w:tr>
        <w:tc>
          <w:tcPr>
            <w:tcW w:type="dxa" w:w="3028"/>
          </w:tcPr>
          <w:p>
            <w:r/>
            <w:r>
              <w:rPr>
                <w:rFonts w:ascii="Arial" w:hAnsi="Arial"/>
                <w:b w:val="0"/>
                <w:sz w:val="16"/>
              </w:rPr>
              <w:t>45+5Np</w:t>
            </w:r>
          </w:p>
        </w:tc>
        <w:tc>
          <w:tcPr>
            <w:tcW w:type="dxa" w:w="3028"/>
          </w:tcPr>
          <w:p>
            <w:r/>
            <w:r>
              <w:rPr>
                <w:rFonts w:ascii="Arial" w:hAnsi="Arial"/>
                <w:b w:val="0"/>
                <w:sz w:val="16"/>
              </w:rPr>
            </w:r>
          </w:p>
        </w:tc>
        <w:tc>
          <w:tcPr>
            <w:tcW w:type="dxa" w:w="3028"/>
          </w:tcPr>
          <w:p>
            <w:r/>
            <w:r>
              <w:rPr>
                <w:rFonts w:ascii="Arial" w:hAnsi="Arial"/>
                <w:b w:val="0"/>
                <w:sz w:val="16"/>
              </w:rPr>
              <w:t>Numéro de la perturbation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46+5Np</w:t>
            </w:r>
          </w:p>
        </w:tc>
        <w:tc>
          <w:tcPr>
            <w:tcW w:type="dxa" w:w="3028"/>
          </w:tcPr>
          <w:p>
            <w:r/>
            <w:r>
              <w:rPr>
                <w:rFonts w:ascii="Arial" w:hAnsi="Arial"/>
                <w:b w:val="0"/>
                <w:sz w:val="16"/>
              </w:rPr>
            </w:r>
          </w:p>
        </w:tc>
        <w:tc>
          <w:tcPr>
            <w:tcW w:type="dxa" w:w="3028"/>
          </w:tcPr>
          <w:p>
            <w:r/>
            <w:r>
              <w:rPr>
                <w:rFonts w:ascii="Arial" w:hAnsi="Arial"/>
                <w:b w:val="0"/>
                <w:sz w:val="16"/>
              </w:rPr>
              <w:t>Nombre de prévisions dans l'ensemble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(47+5Np)-(48+5Np)</w:t>
            </w:r>
          </w:p>
        </w:tc>
        <w:tc>
          <w:tcPr>
            <w:tcW w:type="dxa" w:w="3028"/>
          </w:tcPr>
          <w:p>
            <w:r/>
            <w:r>
              <w:rPr>
                <w:rFonts w:ascii="Arial" w:hAnsi="Arial"/>
                <w:b w:val="0"/>
                <w:sz w:val="16"/>
              </w:rPr>
            </w:r>
          </w:p>
        </w:tc>
        <w:tc>
          <w:tcPr>
            <w:tcW w:type="dxa" w:w="3028"/>
          </w:tcPr>
          <w:p>
            <w:r/>
            <w:r>
              <w:rPr>
                <w:rFonts w:ascii="Arial" w:hAnsi="Arial"/>
                <w:b w:val="0"/>
                <w:sz w:val="16"/>
              </w:rPr>
              <w:t>Année - Fin de l’intervalle de temps complet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(49+5Np)</w:t>
            </w:r>
          </w:p>
        </w:tc>
        <w:tc>
          <w:tcPr>
            <w:tcW w:type="dxa" w:w="3028"/>
          </w:tcPr>
          <w:p>
            <w:r/>
            <w:r>
              <w:rPr>
                <w:rFonts w:ascii="Arial" w:hAnsi="Arial"/>
                <w:b w:val="0"/>
                <w:sz w:val="16"/>
              </w:rPr>
            </w:r>
          </w:p>
        </w:tc>
        <w:tc>
          <w:tcPr>
            <w:tcW w:type="dxa" w:w="3028"/>
          </w:tcPr>
          <w:p>
            <w:r/>
            <w:r>
              <w:rPr>
                <w:rFonts w:ascii="Arial" w:hAnsi="Arial"/>
                <w:b w:val="0"/>
                <w:sz w:val="16"/>
              </w:rPr>
              <w:t>Mois- Fin de l’intervalle de temps complet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(50+5Np)</w:t>
            </w:r>
          </w:p>
        </w:tc>
        <w:tc>
          <w:tcPr>
            <w:tcW w:type="dxa" w:w="3028"/>
          </w:tcPr>
          <w:p>
            <w:r/>
            <w:r>
              <w:rPr>
                <w:rFonts w:ascii="Arial" w:hAnsi="Arial"/>
                <w:b w:val="0"/>
                <w:sz w:val="16"/>
              </w:rPr>
            </w:r>
          </w:p>
        </w:tc>
        <w:tc>
          <w:tcPr>
            <w:tcW w:type="dxa" w:w="3028"/>
          </w:tcPr>
          <w:p>
            <w:r/>
            <w:r>
              <w:rPr>
                <w:rFonts w:ascii="Arial" w:hAnsi="Arial"/>
                <w:b w:val="0"/>
                <w:sz w:val="16"/>
              </w:rPr>
              <w:t>Jour - Fin de l’intervalle de temps complet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(51+5Np)</w:t>
            </w:r>
          </w:p>
        </w:tc>
        <w:tc>
          <w:tcPr>
            <w:tcW w:type="dxa" w:w="3028"/>
          </w:tcPr>
          <w:p>
            <w:r/>
            <w:r>
              <w:rPr>
                <w:rFonts w:ascii="Arial" w:hAnsi="Arial"/>
                <w:b w:val="0"/>
                <w:sz w:val="16"/>
              </w:rPr>
            </w:r>
          </w:p>
        </w:tc>
        <w:tc>
          <w:tcPr>
            <w:tcW w:type="dxa" w:w="3028"/>
          </w:tcPr>
          <w:p>
            <w:r/>
            <w:r>
              <w:rPr>
                <w:rFonts w:ascii="Arial" w:hAnsi="Arial"/>
                <w:b w:val="0"/>
                <w:sz w:val="16"/>
              </w:rPr>
              <w:t>Heure - Fin de l’intervalle de temps complet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(52+5Np)</w:t>
            </w:r>
          </w:p>
        </w:tc>
        <w:tc>
          <w:tcPr>
            <w:tcW w:type="dxa" w:w="3028"/>
          </w:tcPr>
          <w:p>
            <w:r/>
            <w:r>
              <w:rPr>
                <w:rFonts w:ascii="Arial" w:hAnsi="Arial"/>
                <w:b w:val="0"/>
                <w:sz w:val="16"/>
              </w:rPr>
            </w:r>
          </w:p>
        </w:tc>
        <w:tc>
          <w:tcPr>
            <w:tcW w:type="dxa" w:w="3028"/>
          </w:tcPr>
          <w:p>
            <w:r/>
            <w:r>
              <w:rPr>
                <w:rFonts w:ascii="Arial" w:hAnsi="Arial"/>
                <w:b w:val="0"/>
                <w:sz w:val="16"/>
              </w:rPr>
              <w:t>Minute - Fin de l’intervalle de temps complet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(53+5Np)</w:t>
            </w:r>
          </w:p>
        </w:tc>
        <w:tc>
          <w:tcPr>
            <w:tcW w:type="dxa" w:w="3028"/>
          </w:tcPr>
          <w:p>
            <w:r/>
            <w:r>
              <w:rPr>
                <w:rFonts w:ascii="Arial" w:hAnsi="Arial"/>
                <w:b w:val="0"/>
                <w:sz w:val="16"/>
              </w:rPr>
            </w:r>
          </w:p>
        </w:tc>
        <w:tc>
          <w:tcPr>
            <w:tcW w:type="dxa" w:w="3028"/>
          </w:tcPr>
          <w:p>
            <w:r/>
            <w:r>
              <w:rPr>
                <w:rFonts w:ascii="Arial" w:hAnsi="Arial"/>
                <w:b w:val="0"/>
                <w:sz w:val="16"/>
              </w:rPr>
              <w:t>Seconde - Fin de l’intervalle de temps complet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(54+5Np)</w:t>
            </w:r>
          </w:p>
        </w:tc>
        <w:tc>
          <w:tcPr>
            <w:tcW w:type="dxa" w:w="3028"/>
          </w:tcPr>
          <w:p>
            <w:r/>
            <w:r>
              <w:rPr>
                <w:rFonts w:ascii="Arial" w:hAnsi="Arial"/>
                <w:b w:val="0"/>
                <w:sz w:val="16"/>
              </w:rPr>
            </w:r>
          </w:p>
        </w:tc>
        <w:tc>
          <w:tcPr>
            <w:tcW w:type="dxa" w:w="3028"/>
          </w:tcPr>
          <w:p>
            <w:r/>
            <w:r>
              <w:rPr>
                <w:rFonts w:ascii="Arial" w:hAnsi="Arial"/>
                <w:b w:val="0"/>
                <w:sz w:val="16"/>
              </w:rPr>
              <w:t>n - nombre des spécifications décrivant les intervalles de temps sur lesquels porte le calcul statistique du champ</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(55+5Np)-(58+5Np)</w:t>
            </w:r>
          </w:p>
        </w:tc>
        <w:tc>
          <w:tcPr>
            <w:tcW w:type="dxa" w:w="3028"/>
          </w:tcPr>
          <w:p>
            <w:r/>
            <w:r>
              <w:rPr>
                <w:rFonts w:ascii="Arial" w:hAnsi="Arial"/>
                <w:b w:val="0"/>
                <w:sz w:val="16"/>
              </w:rPr>
            </w:r>
          </w:p>
        </w:tc>
        <w:tc>
          <w:tcPr>
            <w:tcW w:type="dxa" w:w="3028"/>
          </w:tcPr>
          <w:p>
            <w:r/>
            <w:r>
              <w:rPr>
                <w:rFonts w:ascii="Arial" w:hAnsi="Arial"/>
                <w:b w:val="0"/>
                <w:sz w:val="16"/>
              </w:rPr>
              <w:t>Nombre total de valeurs manquantes dans le calcul statistique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(59+5Np)-(70+5Np)   Spécification de l'intervalle de temps le plus éloigné (ou intervalle de temps unique) sur lequel porte le calcul statistique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(59+5Np)</w:t>
            </w:r>
          </w:p>
        </w:tc>
        <w:tc>
          <w:tcPr>
            <w:tcW w:type="dxa" w:w="3028"/>
          </w:tcPr>
          <w:p>
            <w:r/>
            <w:r>
              <w:rPr>
                <w:rFonts w:ascii="Arial" w:hAnsi="Arial"/>
                <w:b w:val="0"/>
                <w:sz w:val="16"/>
              </w:rPr>
            </w:r>
          </w:p>
        </w:tc>
        <w:tc>
          <w:tcPr>
            <w:tcW w:type="dxa" w:w="3028"/>
          </w:tcPr>
          <w:p>
            <w:r/>
            <w:r>
              <w:rPr>
                <w:rFonts w:ascii="Arial" w:hAnsi="Arial"/>
                <w:b w:val="0"/>
                <w:sz w:val="16"/>
              </w:rPr>
              <w:t>Calcul statistique ayant permis d'obtenir le champ élaboré à partir du champ à chaque incrément de temps durant l'intervalle de temps</w:t>
            </w:r>
          </w:p>
        </w:tc>
        <w:tc>
          <w:tcPr>
            <w:tcW w:type="dxa" w:w="3028"/>
          </w:tcPr>
          <w:p>
            <w:r/>
            <w:r>
              <w:rPr>
                <w:rFonts w:ascii="Arial" w:hAnsi="Arial"/>
                <w:b w:val="0"/>
                <w:sz w:val="16"/>
              </w:rPr>
              <w:t>(voir la table de code 4.10)</w:t>
            </w:r>
          </w:p>
        </w:tc>
        <w:tc>
          <w:tcPr>
            <w:tcW w:type="dxa" w:w="3028"/>
          </w:tcPr>
          <w:p>
            <w:r/>
            <w:r>
              <w:rPr>
                <w:rFonts w:ascii="Arial" w:hAnsi="Arial"/>
                <w:b w:val="0"/>
                <w:sz w:val="16"/>
              </w:rPr>
              <w:t>Code table 4.10</w:t>
            </w:r>
          </w:p>
        </w:tc>
      </w:tr>
      <w:tr>
        <w:tc>
          <w:tcPr>
            <w:tcW w:type="dxa" w:w="3028"/>
          </w:tcPr>
          <w:p>
            <w:r/>
            <w:r>
              <w:rPr>
                <w:rFonts w:ascii="Arial" w:hAnsi="Arial"/>
                <w:b w:val="0"/>
                <w:sz w:val="16"/>
              </w:rPr>
              <w:t>(60+5Np)</w:t>
            </w:r>
          </w:p>
        </w:tc>
        <w:tc>
          <w:tcPr>
            <w:tcW w:type="dxa" w:w="3028"/>
          </w:tcPr>
          <w:p>
            <w:r/>
            <w:r>
              <w:rPr>
                <w:rFonts w:ascii="Arial" w:hAnsi="Arial"/>
                <w:b w:val="0"/>
                <w:sz w:val="16"/>
              </w:rPr>
            </w:r>
          </w:p>
        </w:tc>
        <w:tc>
          <w:tcPr>
            <w:tcW w:type="dxa" w:w="3028"/>
          </w:tcPr>
          <w:p>
            <w:r/>
            <w:r>
              <w:rPr>
                <w:rFonts w:ascii="Arial" w:hAnsi="Arial"/>
                <w:b w:val="0"/>
                <w:sz w:val="16"/>
              </w:rPr>
              <w:t>Type d'incrément de temps entre les champs successifs employé pour le calcul statistique</w:t>
            </w:r>
          </w:p>
        </w:tc>
        <w:tc>
          <w:tcPr>
            <w:tcW w:type="dxa" w:w="3028"/>
          </w:tcPr>
          <w:p>
            <w:r/>
            <w:r>
              <w:rPr>
                <w:rFonts w:ascii="Arial" w:hAnsi="Arial"/>
                <w:b w:val="0"/>
                <w:sz w:val="16"/>
              </w:rPr>
              <w:t>(voir la table de code 4.11)</w:t>
            </w:r>
          </w:p>
        </w:tc>
        <w:tc>
          <w:tcPr>
            <w:tcW w:type="dxa" w:w="3028"/>
          </w:tcPr>
          <w:p>
            <w:r/>
            <w:r>
              <w:rPr>
                <w:rFonts w:ascii="Arial" w:hAnsi="Arial"/>
                <w:b w:val="0"/>
                <w:sz w:val="16"/>
              </w:rPr>
              <w:t>Code table 4.11</w:t>
            </w:r>
          </w:p>
        </w:tc>
      </w:tr>
      <w:tr>
        <w:tc>
          <w:tcPr>
            <w:tcW w:type="dxa" w:w="3028"/>
          </w:tcPr>
          <w:p>
            <w:r/>
            <w:r>
              <w:rPr>
                <w:rFonts w:ascii="Arial" w:hAnsi="Arial"/>
                <w:b w:val="0"/>
                <w:sz w:val="16"/>
              </w:rPr>
              <w:t>(61+5Np)</w:t>
            </w:r>
          </w:p>
        </w:tc>
        <w:tc>
          <w:tcPr>
            <w:tcW w:type="dxa" w:w="3028"/>
          </w:tcPr>
          <w:p>
            <w:r/>
            <w:r>
              <w:rPr>
                <w:rFonts w:ascii="Arial" w:hAnsi="Arial"/>
                <w:b w:val="0"/>
                <w:sz w:val="16"/>
              </w:rPr>
            </w:r>
          </w:p>
        </w:tc>
        <w:tc>
          <w:tcPr>
            <w:tcW w:type="dxa" w:w="3028"/>
          </w:tcPr>
          <w:p>
            <w:r/>
            <w:r>
              <w:rPr>
                <w:rFonts w:ascii="Arial" w:hAnsi="Arial"/>
                <w:b w:val="0"/>
                <w:sz w:val="16"/>
              </w:rPr>
              <w:t>Indicateur de l'unité de temps employée pour l'intervalle de temps sur lequel porte le calcul statistique</w:t>
            </w:r>
          </w:p>
        </w:tc>
        <w:tc>
          <w:tcPr>
            <w:tcW w:type="dxa" w:w="3028"/>
          </w:tcPr>
          <w:p>
            <w:r/>
            <w:r>
              <w:rPr>
                <w:rFonts w:ascii="Arial" w:hAnsi="Arial"/>
                <w:b w:val="0"/>
                <w:sz w:val="16"/>
              </w:rPr>
              <w:t>(voir la table de code 4.4)</w:t>
            </w:r>
          </w:p>
        </w:tc>
        <w:tc>
          <w:tcPr>
            <w:tcW w:type="dxa" w:w="3028"/>
          </w:tcPr>
          <w:p>
            <w:r/>
            <w:r>
              <w:rPr>
                <w:rFonts w:ascii="Arial" w:hAnsi="Arial"/>
                <w:b w:val="0"/>
                <w:sz w:val="16"/>
              </w:rPr>
              <w:t>Code table 4.4</w:t>
            </w:r>
          </w:p>
        </w:tc>
      </w:tr>
      <w:tr>
        <w:tc>
          <w:tcPr>
            <w:tcW w:type="dxa" w:w="3028"/>
          </w:tcPr>
          <w:p>
            <w:r/>
            <w:r>
              <w:rPr>
                <w:rFonts w:ascii="Arial" w:hAnsi="Arial"/>
                <w:b w:val="0"/>
                <w:sz w:val="16"/>
              </w:rPr>
              <w:t>(62+5Np)-(65+5Np)</w:t>
            </w:r>
          </w:p>
        </w:tc>
        <w:tc>
          <w:tcPr>
            <w:tcW w:type="dxa" w:w="3028"/>
          </w:tcPr>
          <w:p>
            <w:r/>
            <w:r>
              <w:rPr>
                <w:rFonts w:ascii="Arial" w:hAnsi="Arial"/>
                <w:b w:val="0"/>
                <w:sz w:val="16"/>
              </w:rPr>
            </w:r>
          </w:p>
        </w:tc>
        <w:tc>
          <w:tcPr>
            <w:tcW w:type="dxa" w:w="3028"/>
          </w:tcPr>
          <w:p>
            <w:r/>
            <w:r>
              <w:rPr>
                <w:rFonts w:ascii="Arial" w:hAnsi="Arial"/>
                <w:b w:val="0"/>
                <w:sz w:val="16"/>
              </w:rPr>
              <w:t>Durée de l'intervalle de temps sur lequel porte le calcul statistique, exprimée dans l'unité indiquée par l'octet précédent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(66+5Np)</w:t>
            </w:r>
          </w:p>
        </w:tc>
        <w:tc>
          <w:tcPr>
            <w:tcW w:type="dxa" w:w="3028"/>
          </w:tcPr>
          <w:p>
            <w:r/>
            <w:r>
              <w:rPr>
                <w:rFonts w:ascii="Arial" w:hAnsi="Arial"/>
                <w:b w:val="0"/>
                <w:sz w:val="16"/>
              </w:rPr>
            </w:r>
          </w:p>
        </w:tc>
        <w:tc>
          <w:tcPr>
            <w:tcW w:type="dxa" w:w="3028"/>
          </w:tcPr>
          <w:p>
            <w:r/>
            <w:r>
              <w:rPr>
                <w:rFonts w:ascii="Arial" w:hAnsi="Arial"/>
                <w:b w:val="0"/>
                <w:sz w:val="16"/>
              </w:rPr>
              <w:t>Indicateur de l'unité de temps employée pour l'incrément de temps entre les champs successifs</w:t>
            </w:r>
          </w:p>
        </w:tc>
        <w:tc>
          <w:tcPr>
            <w:tcW w:type="dxa" w:w="3028"/>
          </w:tcPr>
          <w:p>
            <w:r/>
            <w:r>
              <w:rPr>
                <w:rFonts w:ascii="Arial" w:hAnsi="Arial"/>
                <w:b w:val="0"/>
                <w:sz w:val="16"/>
              </w:rPr>
              <w:t>(voir la table de code 4.4)</w:t>
            </w:r>
          </w:p>
        </w:tc>
        <w:tc>
          <w:tcPr>
            <w:tcW w:type="dxa" w:w="3028"/>
          </w:tcPr>
          <w:p>
            <w:r/>
            <w:r>
              <w:rPr>
                <w:rFonts w:ascii="Arial" w:hAnsi="Arial"/>
                <w:b w:val="0"/>
                <w:sz w:val="16"/>
              </w:rPr>
              <w:t>Code table 4.4</w:t>
            </w:r>
          </w:p>
        </w:tc>
      </w:tr>
      <w:tr>
        <w:tc>
          <w:tcPr>
            <w:tcW w:type="dxa" w:w="3028"/>
          </w:tcPr>
          <w:p>
            <w:r/>
            <w:r>
              <w:rPr>
                <w:rFonts w:ascii="Arial" w:hAnsi="Arial"/>
                <w:b w:val="0"/>
                <w:sz w:val="16"/>
              </w:rPr>
              <w:t>(67+5Np)-(70+5Np)</w:t>
            </w:r>
          </w:p>
        </w:tc>
        <w:tc>
          <w:tcPr>
            <w:tcW w:type="dxa" w:w="3028"/>
          </w:tcPr>
          <w:p>
            <w:r/>
            <w:r>
              <w:rPr>
                <w:rFonts w:ascii="Arial" w:hAnsi="Arial"/>
                <w:b w:val="0"/>
                <w:sz w:val="16"/>
              </w:rPr>
            </w:r>
          </w:p>
        </w:tc>
        <w:tc>
          <w:tcPr>
            <w:tcW w:type="dxa" w:w="3028"/>
          </w:tcPr>
          <w:p>
            <w:r/>
            <w:r>
              <w:rPr>
                <w:rFonts w:ascii="Arial" w:hAnsi="Arial"/>
                <w:b w:val="0"/>
                <w:sz w:val="16"/>
              </w:rPr>
              <w:t>Incrément de temps entre les champs successifs, exprimé dans l'unité indiquée par l'octet précédent</w:t>
            </w:r>
          </w:p>
        </w:tc>
        <w:tc>
          <w:tcPr>
            <w:tcW w:type="dxa" w:w="3028"/>
          </w:tcPr>
          <w:p>
            <w:r/>
            <w:r>
              <w:rPr>
                <w:rFonts w:ascii="Arial" w:hAnsi="Arial"/>
                <w:b w:val="0"/>
                <w:sz w:val="16"/>
              </w:rPr>
              <w:t>(voir les notes 5 et 6)</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(71+5Np)-nn    Ces octets figurent dans le message uniquement si n&gt;1, nn = (58+5Np)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(71+5Np)-(82+5Np)</w:t>
            </w:r>
          </w:p>
        </w:tc>
        <w:tc>
          <w:tcPr>
            <w:tcW w:type="dxa" w:w="3028"/>
          </w:tcPr>
          <w:p>
            <w:r/>
            <w:r>
              <w:rPr>
                <w:rFonts w:ascii="Arial" w:hAnsi="Arial"/>
                <w:b w:val="0"/>
                <w:sz w:val="16"/>
              </w:rPr>
            </w:r>
          </w:p>
        </w:tc>
        <w:tc>
          <w:tcPr>
            <w:tcW w:type="dxa" w:w="3028"/>
          </w:tcPr>
          <w:p>
            <w:r/>
            <w:r>
              <w:rPr>
                <w:rFonts w:ascii="Arial" w:hAnsi="Arial"/>
                <w:b w:val="0"/>
                <w:sz w:val="16"/>
              </w:rPr>
              <w:t>Même contenu que les octets (59+5Np) à (70+5Np), pour l'étape suivante du calcul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(83+5Np)-nn</w:t>
            </w:r>
          </w:p>
        </w:tc>
        <w:tc>
          <w:tcPr>
            <w:tcW w:type="dxa" w:w="3028"/>
          </w:tcPr>
          <w:p>
            <w:r/>
            <w:r>
              <w:rPr>
                <w:rFonts w:ascii="Arial" w:hAnsi="Arial"/>
                <w:b w:val="0"/>
                <w:sz w:val="16"/>
              </w:rPr>
            </w:r>
          </w:p>
        </w:tc>
        <w:tc>
          <w:tcPr>
            <w:tcW w:type="dxa" w:w="3028"/>
          </w:tcPr>
          <w:p>
            <w:r/>
            <w:r>
              <w:rPr>
                <w:rFonts w:ascii="Arial" w:hAnsi="Arial"/>
                <w:b w:val="0"/>
                <w:sz w:val="16"/>
              </w:rPr>
              <w:t>Spécifications des intervalles de temps supplémentaires, incluses en fonction de la valeur de n. Le contenu est le même que celui des octets (59+5Np) à (70+5Np), répétés au besoin</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