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Modèle de définition du produit 4.79 Prévision d'ensemble prise séparément, de contrôle ou «perturbée», pour une surface ou une couche horizontale, durant un intervalle de temps continu ou non, relative aux constituants chimiques de l'atmosphère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Catégorie du paramètre</w:t>
            </w:r>
          </w:p>
        </w:tc>
        <w:tc>
          <w:tcPr>
            <w:tcW w:type="dxa" w:w="3028"/>
          </w:tcPr>
          <w:p>
            <w:r/>
            <w:r>
              <w:rPr>
                <w:rFonts w:ascii="Arial" w:hAnsi="Arial"/>
                <w:b w:val="0"/>
                <w:sz w:val="16"/>
              </w:rPr>
              <w:t>(voir la table de code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Numéro du paramètre</w:t>
            </w:r>
          </w:p>
        </w:tc>
        <w:tc>
          <w:tcPr>
            <w:tcW w:type="dxa" w:w="3028"/>
          </w:tcPr>
          <w:p>
            <w:r/>
            <w:r>
              <w:rPr>
                <w:rFonts w:ascii="Arial" w:hAnsi="Arial"/>
                <w:b w:val="0"/>
                <w:sz w:val="16"/>
              </w:rPr>
              <w:t>(voir la table de code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Type de constituants chimiques de l'atmosphère</w:t>
            </w:r>
          </w:p>
        </w:tc>
        <w:tc>
          <w:tcPr>
            <w:tcW w:type="dxa" w:w="3028"/>
          </w:tcPr>
          <w:p>
            <w:r/>
            <w:r>
              <w:rPr>
                <w:rFonts w:ascii="Arial" w:hAnsi="Arial"/>
                <w:b w:val="0"/>
                <w:sz w:val="16"/>
              </w:rPr>
              <w:t>(voir la table de code 4.230)</w:t>
            </w:r>
          </w:p>
        </w:tc>
        <w:tc>
          <w:tcPr>
            <w:tcW w:type="dxa" w:w="3028"/>
          </w:tcPr>
          <w:p>
            <w:r/>
            <w:r>
              <w:rPr>
                <w:rFonts w:ascii="Arial" w:hAnsi="Arial"/>
                <w:b w:val="0"/>
                <w:sz w:val="16"/>
              </w:rPr>
              <w:t>Code table 4.230</w:t>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Source ou puits</w:t>
            </w:r>
          </w:p>
        </w:tc>
        <w:tc>
          <w:tcPr>
            <w:tcW w:type="dxa" w:w="3028"/>
          </w:tcPr>
          <w:p>
            <w:r/>
            <w:r>
              <w:rPr>
                <w:rFonts w:ascii="Arial" w:hAnsi="Arial"/>
                <w:b w:val="0"/>
                <w:sz w:val="16"/>
              </w:rPr>
              <w:t>(voir la table de code 4.238)</w:t>
            </w:r>
          </w:p>
        </w:tc>
        <w:tc>
          <w:tcPr>
            <w:tcW w:type="dxa" w:w="3028"/>
          </w:tcPr>
          <w:p>
            <w:r/>
            <w:r>
              <w:rPr>
                <w:rFonts w:ascii="Arial" w:hAnsi="Arial"/>
                <w:b w:val="0"/>
                <w:sz w:val="16"/>
              </w:rPr>
              <w:t>Code table 4.238</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Type du processus de production</w:t>
            </w:r>
          </w:p>
        </w:tc>
        <w:tc>
          <w:tcPr>
            <w:tcW w:type="dxa" w:w="3028"/>
          </w:tcPr>
          <w:p>
            <w:r/>
            <w:r>
              <w:rPr>
                <w:rFonts w:ascii="Arial" w:hAnsi="Arial"/>
                <w:b w:val="0"/>
                <w:sz w:val="16"/>
              </w:rPr>
              <w:t>(voir la table de code 4.3)</w:t>
            </w:r>
          </w:p>
        </w:tc>
        <w:tc>
          <w:tcPr>
            <w:tcW w:type="dxa" w:w="3028"/>
          </w:tcPr>
          <w:p>
            <w:r/>
            <w:r>
              <w:rPr>
                <w:rFonts w:ascii="Arial" w:hAnsi="Arial"/>
                <w:b w:val="0"/>
                <w:sz w:val="16"/>
              </w:rPr>
              <w:t>Code table 4.3</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Indicateur du processus de production de base (défini par le centre d'origine)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Indicateur du processus de production de la prévision (défini par le centre d'origine)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18-19</w:t>
            </w:r>
          </w:p>
        </w:tc>
        <w:tc>
          <w:tcPr>
            <w:tcW w:type="dxa" w:w="3028"/>
          </w:tcPr>
          <w:p>
            <w:r/>
            <w:r>
              <w:rPr>
                <w:rFonts w:ascii="Arial" w:hAnsi="Arial"/>
                <w:b w:val="0"/>
                <w:sz w:val="16"/>
              </w:rPr>
              <w:t>2</w:t>
            </w:r>
          </w:p>
        </w:tc>
        <w:tc>
          <w:tcPr>
            <w:tcW w:type="dxa" w:w="3028"/>
          </w:tcPr>
          <w:p>
            <w:r/>
            <w:r>
              <w:rPr>
                <w:rFonts w:ascii="Arial" w:hAnsi="Arial"/>
                <w:b w:val="0"/>
                <w:sz w:val="16"/>
              </w:rPr>
              <w:t>Limite (heures) de tombée des données après l'heure de référence</w:t>
            </w:r>
          </w:p>
        </w:tc>
        <w:tc>
          <w:tcPr>
            <w:tcW w:type="dxa" w:w="3028"/>
          </w:tcPr>
          <w:p>
            <w:r/>
            <w:r>
              <w:rPr>
                <w:rFonts w:ascii="Arial" w:hAnsi="Arial"/>
                <w:b w:val="0"/>
                <w:sz w:val="16"/>
              </w:rPr>
              <w:t>(voir la note 1)</w:t>
            </w:r>
          </w:p>
        </w:tc>
        <w:tc>
          <w:tcPr>
            <w:tcW w:type="dxa" w:w="3028"/>
          </w:tcPr>
          <w:p>
            <w:r/>
            <w:r>
              <w:rPr>
                <w:rFonts w:ascii="Arial" w:hAnsi="Arial"/>
                <w:b w:val="0"/>
                <w:sz w:val="16"/>
              </w:rPr>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Limite (minutes) de tombée des données après l'heure de référence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Indicateur d'unité de l'intervalle de temps</w:t>
            </w:r>
          </w:p>
        </w:tc>
        <w:tc>
          <w:tcPr>
            <w:tcW w:type="dxa" w:w="3028"/>
          </w:tcPr>
          <w:p>
            <w:r/>
            <w:r>
              <w:rPr>
                <w:rFonts w:ascii="Arial" w:hAnsi="Arial"/>
                <w:b w:val="0"/>
                <w:sz w:val="16"/>
              </w:rPr>
              <w:t>(voir la table de code 4.4)</w:t>
            </w:r>
          </w:p>
        </w:tc>
        <w:tc>
          <w:tcPr>
            <w:tcW w:type="dxa" w:w="3028"/>
          </w:tcPr>
          <w:p>
            <w:r/>
            <w:r>
              <w:rPr>
                <w:rFonts w:ascii="Arial" w:hAnsi="Arial"/>
                <w:b w:val="0"/>
                <w:sz w:val="16"/>
              </w:rPr>
              <w:t>Code table 4.4</w:t>
            </w:r>
          </w:p>
        </w:tc>
      </w:tr>
      <w:tr>
        <w:tc>
          <w:tcPr>
            <w:tcW w:type="dxa" w:w="3028"/>
          </w:tcPr>
          <w:p>
            <w:r/>
            <w:r>
              <w:rPr>
                <w:rFonts w:ascii="Arial" w:hAnsi="Arial"/>
                <w:b w:val="0"/>
                <w:sz w:val="16"/>
              </w:rPr>
              <w:t>22-25</w:t>
            </w:r>
          </w:p>
        </w:tc>
        <w:tc>
          <w:tcPr>
            <w:tcW w:type="dxa" w:w="3028"/>
          </w:tcPr>
          <w:p>
            <w:r/>
            <w:r>
              <w:rPr>
                <w:rFonts w:ascii="Arial" w:hAnsi="Arial"/>
                <w:b w:val="0"/>
                <w:sz w:val="16"/>
              </w:rPr>
              <w:t>4</w:t>
            </w:r>
          </w:p>
        </w:tc>
        <w:tc>
          <w:tcPr>
            <w:tcW w:type="dxa" w:w="3028"/>
          </w:tcPr>
          <w:p>
            <w:r/>
            <w:r>
              <w:rPr>
                <w:rFonts w:ascii="Arial" w:hAnsi="Arial"/>
                <w:b w:val="0"/>
                <w:sz w:val="16"/>
              </w:rPr>
              <w:t>Heure de la prévision exprimée dans l'unité précisée par l'octet 20</w:t>
            </w:r>
          </w:p>
        </w:tc>
        <w:tc>
          <w:tcPr>
            <w:tcW w:type="dxa" w:w="3028"/>
          </w:tcPr>
          <w:p>
            <w:r/>
            <w:r>
              <w:rPr>
                <w:rFonts w:ascii="Arial" w:hAnsi="Arial"/>
                <w:b w:val="0"/>
                <w:sz w:val="16"/>
              </w:rPr>
              <w:t>(voir la note 2)</w:t>
            </w:r>
          </w:p>
        </w:tc>
        <w:tc>
          <w:tcPr>
            <w:tcW w:type="dxa" w:w="3028"/>
          </w:tcPr>
          <w:p>
            <w:r/>
            <w:r>
              <w:rPr>
                <w:rFonts w:ascii="Arial" w:hAnsi="Arial"/>
                <w:b w:val="0"/>
                <w:sz w:val="16"/>
              </w:rPr>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Type de la première surface spécifiée</w:t>
            </w:r>
          </w:p>
        </w:tc>
        <w:tc>
          <w:tcPr>
            <w:tcW w:type="dxa" w:w="3028"/>
          </w:tcPr>
          <w:p>
            <w:r/>
            <w:r>
              <w:rPr>
                <w:rFonts w:ascii="Arial" w:hAnsi="Arial"/>
                <w:b w:val="0"/>
                <w:sz w:val="16"/>
              </w:rPr>
              <w:t>(voir la table de code 4.5)</w:t>
            </w:r>
          </w:p>
        </w:tc>
        <w:tc>
          <w:tcPr>
            <w:tcW w:type="dxa" w:w="3028"/>
          </w:tcPr>
          <w:p>
            <w:r/>
            <w:r>
              <w:rPr>
                <w:rFonts w:ascii="Arial" w:hAnsi="Arial"/>
                <w:b w:val="0"/>
                <w:sz w:val="16"/>
              </w:rPr>
              <w:t>Code table 4.5</w:t>
            </w:r>
          </w:p>
        </w:tc>
      </w:tr>
      <w:tr>
        <w:tc>
          <w:tcPr>
            <w:tcW w:type="dxa" w:w="3028"/>
          </w:tcPr>
          <w:p>
            <w:r/>
            <w:r>
              <w:rPr>
                <w:rFonts w:ascii="Arial" w:hAnsi="Arial"/>
                <w:b w:val="0"/>
                <w:sz w:val="16"/>
              </w:rPr>
              <w:t>27</w:t>
            </w:r>
          </w:p>
        </w:tc>
        <w:tc>
          <w:tcPr>
            <w:tcW w:type="dxa" w:w="3028"/>
          </w:tcPr>
          <w:p>
            <w:r/>
            <w:r>
              <w:rPr>
                <w:rFonts w:ascii="Arial" w:hAnsi="Arial"/>
                <w:b w:val="0"/>
                <w:sz w:val="16"/>
              </w:rPr>
              <w:t>1</w:t>
            </w:r>
          </w:p>
        </w:tc>
        <w:tc>
          <w:tcPr>
            <w:tcW w:type="dxa" w:w="3028"/>
          </w:tcPr>
          <w:p>
            <w:r/>
            <w:r>
              <w:rPr>
                <w:rFonts w:ascii="Arial" w:hAnsi="Arial"/>
                <w:b w:val="0"/>
                <w:sz w:val="16"/>
              </w:rPr>
              <w:t>Facteur d'échelle - première surface spécifiée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28-31</w:t>
            </w:r>
          </w:p>
        </w:tc>
        <w:tc>
          <w:tcPr>
            <w:tcW w:type="dxa" w:w="3028"/>
          </w:tcPr>
          <w:p>
            <w:r/>
            <w:r>
              <w:rPr>
                <w:rFonts w:ascii="Arial" w:hAnsi="Arial"/>
                <w:b w:val="0"/>
                <w:sz w:val="16"/>
              </w:rPr>
              <w:t>4</w:t>
            </w:r>
          </w:p>
        </w:tc>
        <w:tc>
          <w:tcPr>
            <w:tcW w:type="dxa" w:w="3028"/>
          </w:tcPr>
          <w:p>
            <w:r/>
            <w:r>
              <w:rPr>
                <w:rFonts w:ascii="Arial" w:hAnsi="Arial"/>
                <w:b w:val="0"/>
                <w:sz w:val="16"/>
              </w:rPr>
              <w:t>Valeur ajustée - première surface spécifiée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32</w:t>
            </w:r>
          </w:p>
        </w:tc>
        <w:tc>
          <w:tcPr>
            <w:tcW w:type="dxa" w:w="3028"/>
          </w:tcPr>
          <w:p>
            <w:r/>
            <w:r>
              <w:rPr>
                <w:rFonts w:ascii="Arial" w:hAnsi="Arial"/>
                <w:b w:val="0"/>
                <w:sz w:val="16"/>
              </w:rPr>
              <w:t>1</w:t>
            </w:r>
          </w:p>
        </w:tc>
        <w:tc>
          <w:tcPr>
            <w:tcW w:type="dxa" w:w="3028"/>
          </w:tcPr>
          <w:p>
            <w:r/>
            <w:r>
              <w:rPr>
                <w:rFonts w:ascii="Arial" w:hAnsi="Arial"/>
                <w:b w:val="0"/>
                <w:sz w:val="16"/>
              </w:rPr>
              <w:t>Type de la deuxième surface spécifiée</w:t>
            </w:r>
          </w:p>
        </w:tc>
        <w:tc>
          <w:tcPr>
            <w:tcW w:type="dxa" w:w="3028"/>
          </w:tcPr>
          <w:p>
            <w:r/>
            <w:r>
              <w:rPr>
                <w:rFonts w:ascii="Arial" w:hAnsi="Arial"/>
                <w:b w:val="0"/>
                <w:sz w:val="16"/>
              </w:rPr>
              <w:t>(voir la table de code 4.5)</w:t>
            </w:r>
          </w:p>
        </w:tc>
        <w:tc>
          <w:tcPr>
            <w:tcW w:type="dxa" w:w="3028"/>
          </w:tcPr>
          <w:p>
            <w:r/>
            <w:r>
              <w:rPr>
                <w:rFonts w:ascii="Arial" w:hAnsi="Arial"/>
                <w:b w:val="0"/>
                <w:sz w:val="16"/>
              </w:rPr>
              <w:t>Code table 4.5</w:t>
            </w:r>
          </w:p>
        </w:tc>
      </w:tr>
      <w:tr>
        <w:tc>
          <w:tcPr>
            <w:tcW w:type="dxa" w:w="3028"/>
          </w:tcPr>
          <w:p>
            <w:r/>
            <w:r>
              <w:rPr>
                <w:rFonts w:ascii="Arial" w:hAnsi="Arial"/>
                <w:b w:val="0"/>
                <w:sz w:val="16"/>
              </w:rPr>
              <w:t>33</w:t>
            </w:r>
          </w:p>
        </w:tc>
        <w:tc>
          <w:tcPr>
            <w:tcW w:type="dxa" w:w="3028"/>
          </w:tcPr>
          <w:p>
            <w:r/>
            <w:r>
              <w:rPr>
                <w:rFonts w:ascii="Arial" w:hAnsi="Arial"/>
                <w:b w:val="0"/>
                <w:sz w:val="16"/>
              </w:rPr>
              <w:t>1</w:t>
            </w:r>
          </w:p>
        </w:tc>
        <w:tc>
          <w:tcPr>
            <w:tcW w:type="dxa" w:w="3028"/>
          </w:tcPr>
          <w:p>
            <w:r/>
            <w:r>
              <w:rPr>
                <w:rFonts w:ascii="Arial" w:hAnsi="Arial"/>
                <w:b w:val="0"/>
                <w:sz w:val="16"/>
              </w:rPr>
              <w:t>Facteur d'échelle - deuxième surface spécifiée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34-37</w:t>
            </w:r>
          </w:p>
        </w:tc>
        <w:tc>
          <w:tcPr>
            <w:tcW w:type="dxa" w:w="3028"/>
          </w:tcPr>
          <w:p>
            <w:r/>
            <w:r>
              <w:rPr>
                <w:rFonts w:ascii="Arial" w:hAnsi="Arial"/>
                <w:b w:val="0"/>
                <w:sz w:val="16"/>
              </w:rPr>
              <w:t>4</w:t>
            </w:r>
          </w:p>
        </w:tc>
        <w:tc>
          <w:tcPr>
            <w:tcW w:type="dxa" w:w="3028"/>
          </w:tcPr>
          <w:p>
            <w:r/>
            <w:r>
              <w:rPr>
                <w:rFonts w:ascii="Arial" w:hAnsi="Arial"/>
                <w:b w:val="0"/>
                <w:sz w:val="16"/>
              </w:rPr>
              <w:t>Valeur ajustée - deuxième surface spécifiée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Type de la prévision d'ensemble</w:t>
            </w:r>
          </w:p>
        </w:tc>
        <w:tc>
          <w:tcPr>
            <w:tcW w:type="dxa" w:w="3028"/>
          </w:tcPr>
          <w:p>
            <w:r/>
            <w:r>
              <w:rPr>
                <w:rFonts w:ascii="Arial" w:hAnsi="Arial"/>
                <w:b w:val="0"/>
                <w:sz w:val="16"/>
              </w:rPr>
              <w:t>(voir la table de code 4.6)</w:t>
            </w:r>
          </w:p>
        </w:tc>
        <w:tc>
          <w:tcPr>
            <w:tcW w:type="dxa" w:w="3028"/>
          </w:tcPr>
          <w:p>
            <w:r/>
            <w:r>
              <w:rPr>
                <w:rFonts w:ascii="Arial" w:hAnsi="Arial"/>
                <w:b w:val="0"/>
                <w:sz w:val="16"/>
              </w:rPr>
              <w:t>Code table 4.6</w:t>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Numéro de la perturbation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Nombre de prévisions dans l'ensemble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41-42</w:t>
            </w:r>
          </w:p>
        </w:tc>
        <w:tc>
          <w:tcPr>
            <w:tcW w:type="dxa" w:w="3028"/>
          </w:tcPr>
          <w:p>
            <w:r/>
            <w:r>
              <w:rPr>
                <w:rFonts w:ascii="Arial" w:hAnsi="Arial"/>
                <w:b w:val="0"/>
                <w:sz w:val="16"/>
              </w:rPr>
              <w:t>2</w:t>
            </w:r>
          </w:p>
        </w:tc>
        <w:tc>
          <w:tcPr>
            <w:tcW w:type="dxa" w:w="3028"/>
          </w:tcPr>
          <w:p>
            <w:r/>
            <w:r>
              <w:rPr>
                <w:rFonts w:ascii="Arial" w:hAnsi="Arial"/>
                <w:b w:val="0"/>
                <w:sz w:val="16"/>
              </w:rPr>
              <w:t>Fin de l'intervalle de temps complet - Année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Fin de l'intervalle de temps complet - Mois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Fin de l'intervalle de temps complet - Jour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w:t>
            </w:r>
          </w:p>
        </w:tc>
        <w:tc>
          <w:tcPr>
            <w:tcW w:type="dxa" w:w="3028"/>
          </w:tcPr>
          <w:p>
            <w:r/>
            <w:r>
              <w:rPr>
                <w:rFonts w:ascii="Arial" w:hAnsi="Arial"/>
                <w:b w:val="0"/>
                <w:sz w:val="16"/>
              </w:rPr>
              <w:t>1</w:t>
            </w:r>
          </w:p>
        </w:tc>
        <w:tc>
          <w:tcPr>
            <w:tcW w:type="dxa" w:w="3028"/>
          </w:tcPr>
          <w:p>
            <w:r/>
            <w:r>
              <w:rPr>
                <w:rFonts w:ascii="Arial" w:hAnsi="Arial"/>
                <w:b w:val="0"/>
                <w:sz w:val="16"/>
              </w:rPr>
              <w:t>Fin de l'intervalle de temps complet - Heure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w:t>
            </w:r>
          </w:p>
        </w:tc>
        <w:tc>
          <w:tcPr>
            <w:tcW w:type="dxa" w:w="3028"/>
          </w:tcPr>
          <w:p>
            <w:r/>
            <w:r>
              <w:rPr>
                <w:rFonts w:ascii="Arial" w:hAnsi="Arial"/>
                <w:b w:val="0"/>
                <w:sz w:val="16"/>
              </w:rPr>
              <w:t>1</w:t>
            </w:r>
          </w:p>
        </w:tc>
        <w:tc>
          <w:tcPr>
            <w:tcW w:type="dxa" w:w="3028"/>
          </w:tcPr>
          <w:p>
            <w:r/>
            <w:r>
              <w:rPr>
                <w:rFonts w:ascii="Arial" w:hAnsi="Arial"/>
                <w:b w:val="0"/>
                <w:sz w:val="16"/>
              </w:rPr>
              <w:t>Fin de l'intervalle de temps complet - Minute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Fin de l'intervalle de temps complet - Seconde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n - nombre des spécifications décrivant les intervalles de temps sur lesquels porte le calcul statistique du champ</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49-52</w:t>
            </w:r>
          </w:p>
        </w:tc>
        <w:tc>
          <w:tcPr>
            <w:tcW w:type="dxa" w:w="3028"/>
          </w:tcPr>
          <w:p>
            <w:r/>
            <w:r>
              <w:rPr>
                <w:rFonts w:ascii="Arial" w:hAnsi="Arial"/>
                <w:b w:val="0"/>
                <w:sz w:val="16"/>
              </w:rPr>
              <w:t>4</w:t>
            </w:r>
          </w:p>
        </w:tc>
        <w:tc>
          <w:tcPr>
            <w:tcW w:type="dxa" w:w="3028"/>
          </w:tcPr>
          <w:p>
            <w:r/>
            <w:r>
              <w:rPr>
                <w:rFonts w:ascii="Arial" w:hAnsi="Arial"/>
                <w:b w:val="0"/>
                <w:sz w:val="16"/>
              </w:rPr>
              <w:t>Nombre total de valeurs manquantes dans le calcul statistique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53-64   Spécification de l'intervalle de temps le plus éloigné (ou intervalle de temps unique) sur lequel porte le calcul statistique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Calcul statistique ayant permis d'obtenir le champ élaboré à partir du champ à chaque incrément de temps durant l'intervalle de temps</w:t>
            </w:r>
          </w:p>
        </w:tc>
        <w:tc>
          <w:tcPr>
            <w:tcW w:type="dxa" w:w="3028"/>
          </w:tcPr>
          <w:p>
            <w:r/>
            <w:r>
              <w:rPr>
                <w:rFonts w:ascii="Arial" w:hAnsi="Arial"/>
                <w:b w:val="0"/>
                <w:sz w:val="16"/>
              </w:rPr>
              <w:t>(voir la table de code 4.10)</w:t>
            </w:r>
          </w:p>
        </w:tc>
        <w:tc>
          <w:tcPr>
            <w:tcW w:type="dxa" w:w="3028"/>
          </w:tcPr>
          <w:p>
            <w:r/>
            <w:r>
              <w:rPr>
                <w:rFonts w:ascii="Arial" w:hAnsi="Arial"/>
                <w:b w:val="0"/>
                <w:sz w:val="16"/>
              </w:rPr>
              <w:t>Code table 4.10</w:t>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Type d'incrément de temps entre les champs successifs employé pour le calcul statistique</w:t>
            </w:r>
          </w:p>
        </w:tc>
        <w:tc>
          <w:tcPr>
            <w:tcW w:type="dxa" w:w="3028"/>
          </w:tcPr>
          <w:p>
            <w:r/>
            <w:r>
              <w:rPr>
                <w:rFonts w:ascii="Arial" w:hAnsi="Arial"/>
                <w:b w:val="0"/>
                <w:sz w:val="16"/>
              </w:rPr>
              <w:t>(voir la table de code 4.11)</w:t>
            </w:r>
          </w:p>
        </w:tc>
        <w:tc>
          <w:tcPr>
            <w:tcW w:type="dxa" w:w="3028"/>
          </w:tcPr>
          <w:p>
            <w:r/>
            <w:r>
              <w:rPr>
                <w:rFonts w:ascii="Arial" w:hAnsi="Arial"/>
                <w:b w:val="0"/>
                <w:sz w:val="16"/>
              </w:rPr>
              <w:t>Code table 4.11</w:t>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Indicateur de l'unité de temps employée pour l'intervalle de temps sur lequel porte le calcul statistique</w:t>
            </w:r>
          </w:p>
        </w:tc>
        <w:tc>
          <w:tcPr>
            <w:tcW w:type="dxa" w:w="3028"/>
          </w:tcPr>
          <w:p>
            <w:r/>
            <w:r>
              <w:rPr>
                <w:rFonts w:ascii="Arial" w:hAnsi="Arial"/>
                <w:b w:val="0"/>
                <w:sz w:val="16"/>
              </w:rPr>
              <w:t>(voir la table de code 4.4)</w:t>
            </w:r>
          </w:p>
        </w:tc>
        <w:tc>
          <w:tcPr>
            <w:tcW w:type="dxa" w:w="3028"/>
          </w:tcPr>
          <w:p>
            <w:r/>
            <w:r>
              <w:rPr>
                <w:rFonts w:ascii="Arial" w:hAnsi="Arial"/>
                <w:b w:val="0"/>
                <w:sz w:val="16"/>
              </w:rPr>
              <w:t>Code table 4.4</w:t>
            </w:r>
          </w:p>
        </w:tc>
      </w:tr>
      <w:tr>
        <w:tc>
          <w:tcPr>
            <w:tcW w:type="dxa" w:w="3028"/>
          </w:tcPr>
          <w:p>
            <w:r/>
            <w:r>
              <w:rPr>
                <w:rFonts w:ascii="Arial" w:hAnsi="Arial"/>
                <w:b w:val="0"/>
                <w:sz w:val="16"/>
              </w:rPr>
              <w:t>56-59</w:t>
            </w:r>
          </w:p>
        </w:tc>
        <w:tc>
          <w:tcPr>
            <w:tcW w:type="dxa" w:w="3028"/>
          </w:tcPr>
          <w:p>
            <w:r/>
            <w:r>
              <w:rPr>
                <w:rFonts w:ascii="Arial" w:hAnsi="Arial"/>
                <w:b w:val="0"/>
                <w:sz w:val="16"/>
              </w:rPr>
              <w:t>4</w:t>
            </w:r>
          </w:p>
        </w:tc>
        <w:tc>
          <w:tcPr>
            <w:tcW w:type="dxa" w:w="3028"/>
          </w:tcPr>
          <w:p>
            <w:r/>
            <w:r>
              <w:rPr>
                <w:rFonts w:ascii="Arial" w:hAnsi="Arial"/>
                <w:b w:val="0"/>
                <w:sz w:val="16"/>
              </w:rPr>
              <w:t>Durée de l'intervalle de temps sur lequel porte le calcul statistique, exprimée dans l'unité indiquée par l'octet précédent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Indicateur de l'unité de temps employée pour l'incrément de temps entre les champs successifs</w:t>
            </w:r>
          </w:p>
        </w:tc>
        <w:tc>
          <w:tcPr>
            <w:tcW w:type="dxa" w:w="3028"/>
          </w:tcPr>
          <w:p>
            <w:r/>
            <w:r>
              <w:rPr>
                <w:rFonts w:ascii="Arial" w:hAnsi="Arial"/>
                <w:b w:val="0"/>
                <w:sz w:val="16"/>
              </w:rPr>
              <w:t>(voir la table de code 4.4)</w:t>
            </w:r>
          </w:p>
        </w:tc>
        <w:tc>
          <w:tcPr>
            <w:tcW w:type="dxa" w:w="3028"/>
          </w:tcPr>
          <w:p>
            <w:r/>
            <w:r>
              <w:rPr>
                <w:rFonts w:ascii="Arial" w:hAnsi="Arial"/>
                <w:b w:val="0"/>
                <w:sz w:val="16"/>
              </w:rPr>
              <w:t>Code table 4.4</w:t>
            </w:r>
          </w:p>
        </w:tc>
      </w:tr>
      <w:tr>
        <w:tc>
          <w:tcPr>
            <w:tcW w:type="dxa" w:w="3028"/>
          </w:tcPr>
          <w:p>
            <w:r/>
            <w:r>
              <w:rPr>
                <w:rFonts w:ascii="Arial" w:hAnsi="Arial"/>
                <w:b w:val="0"/>
                <w:sz w:val="16"/>
              </w:rPr>
              <w:t>61-64</w:t>
            </w:r>
          </w:p>
        </w:tc>
        <w:tc>
          <w:tcPr>
            <w:tcW w:type="dxa" w:w="3028"/>
          </w:tcPr>
          <w:p>
            <w:r/>
            <w:r>
              <w:rPr>
                <w:rFonts w:ascii="Arial" w:hAnsi="Arial"/>
                <w:b w:val="0"/>
                <w:sz w:val="16"/>
              </w:rPr>
              <w:t>4</w:t>
            </w:r>
          </w:p>
        </w:tc>
        <w:tc>
          <w:tcPr>
            <w:tcW w:type="dxa" w:w="3028"/>
          </w:tcPr>
          <w:p>
            <w:r/>
            <w:r>
              <w:rPr>
                <w:rFonts w:ascii="Arial" w:hAnsi="Arial"/>
                <w:b w:val="0"/>
                <w:sz w:val="16"/>
              </w:rPr>
              <w:t>Incrément de temps entre les champs successifs, exprimé dans l'unité indiquée par l'octet précédent</w:t>
            </w:r>
          </w:p>
        </w:tc>
        <w:tc>
          <w:tcPr>
            <w:tcW w:type="dxa" w:w="3028"/>
          </w:tcPr>
          <w:p>
            <w:r/>
            <w:r>
              <w:rPr>
                <w:rFonts w:ascii="Arial" w:hAnsi="Arial"/>
                <w:b w:val="0"/>
                <w:sz w:val="16"/>
              </w:rPr>
              <w:t>(voir les notes 3 et 4)</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65-nn   Ces octets figurent dans le message uniquement si n&gt;1, nn = 52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65-76</w:t>
            </w:r>
          </w:p>
        </w:tc>
        <w:tc>
          <w:tcPr>
            <w:tcW w:type="dxa" w:w="3028"/>
          </w:tcPr>
          <w:p>
            <w:r/>
            <w:r>
              <w:rPr>
                <w:rFonts w:ascii="Arial" w:hAnsi="Arial"/>
                <w:b w:val="0"/>
                <w:sz w:val="16"/>
              </w:rPr>
              <w:t>12</w:t>
            </w:r>
          </w:p>
        </w:tc>
        <w:tc>
          <w:tcPr>
            <w:tcW w:type="dxa" w:w="3028"/>
          </w:tcPr>
          <w:p>
            <w:r/>
            <w:r>
              <w:rPr>
                <w:rFonts w:ascii="Arial" w:hAnsi="Arial"/>
                <w:b w:val="0"/>
                <w:sz w:val="16"/>
              </w:rPr>
              <w:t>Même contenu que les octets 53 à 64, pour l'étape suivante du calcul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77-nn</w:t>
            </w:r>
          </w:p>
        </w:tc>
        <w:tc>
          <w:tcPr>
            <w:tcW w:type="dxa" w:w="3028"/>
          </w:tcPr>
          <w:p>
            <w:r/>
            <w:r>
              <w:rPr>
                <w:rFonts w:ascii="Arial" w:hAnsi="Arial"/>
                <w:b w:val="0"/>
                <w:sz w:val="16"/>
              </w:rPr>
            </w:r>
          </w:p>
        </w:tc>
        <w:tc>
          <w:tcPr>
            <w:tcW w:type="dxa" w:w="3028"/>
          </w:tcPr>
          <w:p>
            <w:r/>
            <w:r>
              <w:rPr>
                <w:rFonts w:ascii="Arial" w:hAnsi="Arial"/>
                <w:b w:val="0"/>
                <w:sz w:val="16"/>
              </w:rPr>
              <w:t>Spécifications des intervalles de temps supplémentaires, incluses en fonction de la valeur de n. Le contenu est le même que celui des octets 53 à 64, répétés au besoin</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