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5.1 — Matrices aux points de grille — compression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représentation des données 5.0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0 - présence de tables binaires matricielles; 1 - absence de table binaire matricielle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valeurs de données codées dans la section 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- première dimension (lignes) de chaque matrice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deuxième dimension (colonnes) de chaque matrice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Définition de la coordonnée en première dimension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NC1 - nombre de coefficients ou de valeurs utilisés pour préciser la fonction correspondant à la coordonnée en première dimension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Définition de la coordonnée en deuxième dimension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NC2 - nombre de coefficients ou de valeurs utilisés pour préciser la fonction correspondant à la coordonnée en deuxième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physique en première dimension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5.3)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physique en deuxième dimension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5.3)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37-(36+NC1x4)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définissant sous forme de fonctions les valeurs des coordonnées en première dimension, ou valeurs explicites des coordonnées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(37+NC1x4)-(36+4(NC1+NC2))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définissant sous forme de fonctions les valeurs des coordonnées en deuxième dimension, ou valeurs explicites des coordonnées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