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5.2 – Données aux points de grille -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représentation des données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séparation en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Traitement des valeurs manquantes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Remplacement des valeurs manquantes primaires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Remplacement des valeurs manquantes secondaires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NG - nombre de groupes dans lesquels se répartissent les valeurs du champ subdivisé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Référence pour les largeurs des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les largeurs des groupes (lorsque la valeur de référence de l'octet 36 a été supprimée)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Référence pour les longueurs des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utilisé pour les longueurs des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Longueur vraie du dernier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indiquer les longueurs ajustées des groupes (après soustraction de la valeur de référence indiquée par les octets 38-41 et division par l'incrément de longueur indiqué par l'octet 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