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Номера версий местных таблиц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Местные таблицы не используются. Действительны только табличные элементы и образцы из действующей эталонной таблицы.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Используемые номера версий местных таблиц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