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Интерпретация списка чисел в конце раздела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Список не прилагается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Числа определяют количество узлов, соответствующих полным координатным кругам (т. е. параллелям); величины координат в каждом круге являются кратными количеству ячеек сетки, а экстремальные значения координат, приведенные в описании сетки (т. е. экстремальные долготы), могут не достигаться во всех рядах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50: В отношении элемента 1 следует отметить, что в зависимости от экстремальных значений (первые/последние) координат, а также несмотря на битовое отображение, действительное количество точек на один ряд может быть меньше, чем количество точек на текущем круге.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Числа определяют количество узлов, соответствующих линиям координат, ограниченных экстремальными координатными значениями, данными в описании сетки (т. е. экстремальные долготы), которые присутствуют в каждом ряду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Числа определяют фактические широты для каждого ряда сетки. Список чисел содержит целые числа действительных широт в микроградусах (масштабированных в 10 единицах, равных отношению базового угла и числу подразделов для каждого ряда, в том же порядке, который указывается в «флаге режима сканирования» (бит № 2) -6 ) или 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105: Значение для постоянного инкремента по направлению Di (или Dx) в сопроводительном образце определения сетки следует установить на все единицы (отсутствующее).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