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Флаги разрешения и компонентов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Инкременты по направлению i не даются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Инкременты по направлению i даются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Инкременты по направлению j не даются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Инкременты по направлению j даются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Спроектированные компоненты векторных величин u и v относительно восточного и северного направлений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Спроектированные компоненты векторных величин u и v относительно определенной сетки в направлениях увеличения соответственно координат х и y (или i и j)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6-8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— установлены на 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