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Тип пространственной обработки, используемой для достижения полученного значения данных на основе исходных данных</w:t>
      </w:r>
    </w:p>
    <w:tbl>
      <w:tblPr>
        <w:tblStyle w:val="TableGrid"/>
        <w:tblW w:type="auto" w:w="0"/>
        <w:jc w:val="center"/>
        <w:tblLook w:firstColumn="1" w:firstRow="1" w:lastColumn="0" w:lastRow="0" w:noHBand="0" w:noVBand="1" w:val="04A0"/>
      </w:tblPr>
      <w:tblGrid>
        <w:gridCol w:w="5046"/>
        <w:gridCol w:w="5046"/>
        <w:gridCol w:w="5046"/>
      </w:tblGrid>
      <w:tr>
        <w:tc>
          <w:tcPr>
            <w:tcW w:type="dxa" w:w="5046"/>
            <w:shd w:val="clear" w:color="auto" w:fill="D9E2F3"/>
          </w:tcPr>
          <w:p>
            <w:pPr>
              <w:jc w:val="center"/>
            </w:pPr>
            <w:r/>
            <w:r>
              <w:rPr>
                <w:rFonts w:ascii="Arial" w:hAnsi="Arial"/>
                <w:b/>
                <w:sz w:val="16"/>
              </w:rPr>
              <w:t>CodeFlag</w:t>
            </w:r>
          </w:p>
        </w:tc>
        <w:tc>
          <w:tcPr>
            <w:tcW w:type="dxa" w:w="5046"/>
            <w:shd w:val="clear" w:color="auto" w:fill="D9E2F3"/>
          </w:tcPr>
          <w:p>
            <w:pPr>
              <w:jc w:val="center"/>
            </w:pPr>
            <w:r/>
            <w:r>
              <w:rPr>
                <w:rFonts w:ascii="Arial" w:hAnsi="Arial"/>
                <w:b/>
                <w:sz w:val="16"/>
              </w:rPr>
              <w:t>Description</w:t>
            </w:r>
          </w:p>
        </w:tc>
        <w:tc>
          <w:tcPr>
            <w:tcW w:type="dxa" w:w="5046"/>
            <w:shd w:val="clear" w:color="auto" w:fill="D9E2F3"/>
          </w:tcPr>
          <w:p>
            <w:pPr>
              <w:jc w:val="center"/>
            </w:pPr>
            <w:r/>
            <w:r>
              <w:rPr>
                <w:rFonts w:ascii="Arial" w:hAnsi="Arial"/>
                <w:b/>
                <w:sz w:val="16"/>
              </w:rPr>
              <w:t>Note</w:t>
            </w:r>
          </w:p>
        </w:tc>
      </w:tr>
      <w:tr>
        <w:tc>
          <w:tcPr>
            <w:tcW w:type="dxa" w:w="5046"/>
          </w:tcPr>
          <w:p>
            <w:r/>
            <w:r>
              <w:rPr>
                <w:rFonts w:ascii="Arial" w:hAnsi="Arial"/>
                <w:b w:val="0"/>
                <w:sz w:val="16"/>
              </w:rPr>
              <w:t>0</w:t>
            </w:r>
          </w:p>
        </w:tc>
        <w:tc>
          <w:tcPr>
            <w:tcW w:type="dxa" w:w="5046"/>
          </w:tcPr>
          <w:p>
            <w:r/>
            <w:r>
              <w:rPr>
                <w:rFonts w:ascii="Arial" w:hAnsi="Arial"/>
                <w:b w:val="0"/>
                <w:sz w:val="16"/>
              </w:rPr>
              <w:t>Данные рассчитываются непосредственно на основе исходной сетки без интерполяции</w:t>
            </w:r>
          </w:p>
        </w:tc>
        <w:tc>
          <w:tcPr>
            <w:tcW w:type="dxa" w:w="5046"/>
          </w:tcPr>
          <w:p>
            <w:r/>
            <w:r>
              <w:rPr>
                <w:rFonts w:ascii="Arial" w:hAnsi="Arial"/>
                <w:b w:val="0"/>
                <w:sz w:val="16"/>
              </w:rPr>
              <w:t>Note 109: Этот метод предполагает, что каждое поле действительно представляет собой средние/максимальные/минимальные значения ячеек, причем каждая ячейка наполовину охватывает соседний узел сетки в каждом направлении для отображения средних/максимальных/минимальных значений исходной сетки без интерполяции.</w:t>
            </w:r>
          </w:p>
        </w:tc>
      </w:tr>
      <w:tr>
        <w:tc>
          <w:tcPr>
            <w:tcW w:type="dxa" w:w="5046"/>
          </w:tcPr>
          <w:p>
            <w:r/>
            <w:r>
              <w:rPr>
                <w:rFonts w:ascii="Arial" w:hAnsi="Arial"/>
                <w:b w:val="0"/>
                <w:sz w:val="16"/>
              </w:rPr>
              <w:t>1</w:t>
            </w:r>
          </w:p>
        </w:tc>
        <w:tc>
          <w:tcPr>
            <w:tcW w:type="dxa" w:w="5046"/>
          </w:tcPr>
          <w:p>
            <w:r/>
            <w:r>
              <w:rPr>
                <w:rFonts w:ascii="Arial" w:hAnsi="Arial"/>
                <w:b w:val="0"/>
                <w:sz w:val="16"/>
              </w:rPr>
              <w:t>Билинейная интерполяция с использованием четырех значений узлов на исходной сетке, окружающих номинальный узел сетки</w:t>
            </w:r>
          </w:p>
        </w:tc>
        <w:tc>
          <w:tcPr>
            <w:tcW w:type="dxa" w:w="5046"/>
          </w:tcPr>
          <w:p>
            <w:r/>
            <w:r>
              <w:rPr>
                <w:rFonts w:ascii="Arial" w:hAnsi="Arial"/>
                <w:b w:val="0"/>
                <w:sz w:val="16"/>
              </w:rPr>
            </w:r>
          </w:p>
        </w:tc>
      </w:tr>
      <w:tr>
        <w:tc>
          <w:tcPr>
            <w:tcW w:type="dxa" w:w="5046"/>
          </w:tcPr>
          <w:p>
            <w:r/>
            <w:r>
              <w:rPr>
                <w:rFonts w:ascii="Arial" w:hAnsi="Arial"/>
                <w:b w:val="0"/>
                <w:sz w:val="16"/>
              </w:rPr>
              <w:t>2</w:t>
            </w:r>
          </w:p>
        </w:tc>
        <w:tc>
          <w:tcPr>
            <w:tcW w:type="dxa" w:w="5046"/>
          </w:tcPr>
          <w:p>
            <w:r/>
            <w:r>
              <w:rPr>
                <w:rFonts w:ascii="Arial" w:hAnsi="Arial"/>
                <w:b w:val="0"/>
                <w:sz w:val="16"/>
              </w:rPr>
              <w:t>Бикубическая интерполяция с использованием четырех значений узлов на исходной сетке, окружающих номинальный узел сетки</w:t>
            </w:r>
          </w:p>
        </w:tc>
        <w:tc>
          <w:tcPr>
            <w:tcW w:type="dxa" w:w="5046"/>
          </w:tcPr>
          <w:p>
            <w:r/>
            <w:r>
              <w:rPr>
                <w:rFonts w:ascii="Arial" w:hAnsi="Arial"/>
                <w:b w:val="0"/>
                <w:sz w:val="16"/>
              </w:rPr>
            </w:r>
          </w:p>
        </w:tc>
      </w:tr>
      <w:tr>
        <w:tc>
          <w:tcPr>
            <w:tcW w:type="dxa" w:w="5046"/>
          </w:tcPr>
          <w:p>
            <w:r/>
            <w:r>
              <w:rPr>
                <w:rFonts w:ascii="Arial" w:hAnsi="Arial"/>
                <w:b w:val="0"/>
                <w:sz w:val="16"/>
              </w:rPr>
              <w:t>3</w:t>
            </w:r>
          </w:p>
        </w:tc>
        <w:tc>
          <w:tcPr>
            <w:tcW w:type="dxa" w:w="5046"/>
          </w:tcPr>
          <w:p>
            <w:r/>
            <w:r>
              <w:rPr>
                <w:rFonts w:ascii="Arial" w:hAnsi="Arial"/>
                <w:b w:val="0"/>
                <w:sz w:val="16"/>
              </w:rPr>
              <w:t>Использование значения узла на исходной сетке, максимально приближенного к номинальному узлу сетки</w:t>
            </w:r>
          </w:p>
        </w:tc>
        <w:tc>
          <w:tcPr>
            <w:tcW w:type="dxa" w:w="5046"/>
          </w:tcPr>
          <w:p>
            <w:r/>
            <w:r>
              <w:rPr>
                <w:rFonts w:ascii="Arial" w:hAnsi="Arial"/>
                <w:b w:val="0"/>
                <w:sz w:val="16"/>
              </w:rPr>
            </w:r>
          </w:p>
        </w:tc>
      </w:tr>
      <w:tr>
        <w:tc>
          <w:tcPr>
            <w:tcW w:type="dxa" w:w="5046"/>
          </w:tcPr>
          <w:p>
            <w:r/>
            <w:r>
              <w:rPr>
                <w:rFonts w:ascii="Arial" w:hAnsi="Arial"/>
                <w:b w:val="0"/>
                <w:sz w:val="16"/>
              </w:rPr>
              <w:t>4</w:t>
            </w:r>
          </w:p>
        </w:tc>
        <w:tc>
          <w:tcPr>
            <w:tcW w:type="dxa" w:w="5046"/>
          </w:tcPr>
          <w:p>
            <w:r/>
            <w:r>
              <w:rPr>
                <w:rFonts w:ascii="Arial" w:hAnsi="Arial"/>
                <w:b w:val="0"/>
                <w:sz w:val="16"/>
              </w:rPr>
              <w:t>Балансовая интерполяция с использованием четырех значений узлов на исходной сетке, окружающих номинальный узел сетки</w:t>
            </w:r>
          </w:p>
        </w:tc>
        <w:tc>
          <w:tcPr>
            <w:tcW w:type="dxa" w:w="5046"/>
          </w:tcPr>
          <w:p>
            <w:r/>
            <w:r>
              <w:rPr>
                <w:rFonts w:ascii="Arial" w:hAnsi="Arial"/>
                <w:b w:val="0"/>
                <w:sz w:val="16"/>
              </w:rPr>
              <w:t>Note 33: Балансовая интерполяция — это метод интерполяции низкого порядка, при котором квази сохраняются средние значения по рассматриваемому участку. Ее целесообразно применять при интерполяции функций, для которых существенно сохранение средних по ячейке значений, например осадков. Этот метод предполагает, что поле действительно представляет собой средние/максимальные/минимальные значения ячеек, причем каждая ячейка наполовину охватывает соседний узел сетки в каждом направлении. Этот метод, по существу, усредняет билинейно интерполированные значения в прямоугольных массивах узлов, распределенных в каждой ячейке итоговой сетки.</w:t>
            </w:r>
          </w:p>
        </w:tc>
      </w:tr>
      <w:tr>
        <w:tc>
          <w:tcPr>
            <w:tcW w:type="dxa" w:w="5046"/>
          </w:tcPr>
          <w:p>
            <w:r/>
            <w:r>
              <w:rPr>
                <w:rFonts w:ascii="Arial" w:hAnsi="Arial"/>
                <w:b w:val="0"/>
                <w:sz w:val="16"/>
              </w:rPr>
              <w:t>5</w:t>
            </w:r>
          </w:p>
        </w:tc>
        <w:tc>
          <w:tcPr>
            <w:tcW w:type="dxa" w:w="5046"/>
          </w:tcPr>
          <w:p>
            <w:r/>
            <w:r>
              <w:rPr>
                <w:rFonts w:ascii="Arial" w:hAnsi="Arial"/>
                <w:b w:val="0"/>
                <w:sz w:val="16"/>
              </w:rPr>
              <w:t>Спектральная интерполяция с использованием четырех значений узлов на исходной сетке, окружающих номинальный узел сетки</w:t>
            </w:r>
          </w:p>
        </w:tc>
        <w:tc>
          <w:tcPr>
            <w:tcW w:type="dxa" w:w="5046"/>
          </w:tcPr>
          <w:p>
            <w:r/>
            <w:r>
              <w:rPr>
                <w:rFonts w:ascii="Arial" w:hAnsi="Arial"/>
                <w:b w:val="0"/>
                <w:sz w:val="16"/>
              </w:rPr>
            </w:r>
          </w:p>
        </w:tc>
      </w:tr>
      <w:tr>
        <w:tc>
          <w:tcPr>
            <w:tcW w:type="dxa" w:w="5046"/>
          </w:tcPr>
          <w:p>
            <w:r/>
            <w:r>
              <w:rPr>
                <w:rFonts w:ascii="Arial" w:hAnsi="Arial"/>
                <w:b w:val="0"/>
                <w:sz w:val="16"/>
              </w:rPr>
              <w:t>6</w:t>
            </w:r>
          </w:p>
        </w:tc>
        <w:tc>
          <w:tcPr>
            <w:tcW w:type="dxa" w:w="5046"/>
          </w:tcPr>
          <w:p>
            <w:r/>
            <w:r>
              <w:rPr>
                <w:rFonts w:ascii="Arial" w:hAnsi="Arial"/>
                <w:b w:val="0"/>
                <w:sz w:val="16"/>
              </w:rPr>
              <w:t>Балансовая интерполяция с использованием четырех соседних узлов на исходной сетке, окружающих номинальный узел сетки</w:t>
            </w:r>
          </w:p>
        </w:tc>
        <w:tc>
          <w:tcPr>
            <w:tcW w:type="dxa" w:w="5046"/>
          </w:tcPr>
          <w:p>
            <w:r/>
            <w:r>
              <w:rPr>
                <w:rFonts w:ascii="Arial" w:hAnsi="Arial"/>
                <w:b w:val="0"/>
                <w:sz w:val="16"/>
              </w:rPr>
              <w:t>Note 72: Осуществляется балансовая интерполяция в узле сетки, ближайшем к номинальному узлу сетки.</w:t>
            </w:r>
          </w:p>
        </w:tc>
      </w:tr>
      <w:tr>
        <w:tc>
          <w:tcPr>
            <w:tcW w:type="dxa" w:w="5046"/>
          </w:tcPr>
          <w:p>
            <w:r/>
            <w:r>
              <w:rPr>
                <w:rFonts w:ascii="Arial" w:hAnsi="Arial"/>
                <w:b w:val="0"/>
                <w:sz w:val="16"/>
              </w:rPr>
              <w:t>7-191</w:t>
            </w:r>
          </w:p>
        </w:tc>
        <w:tc>
          <w:tcPr>
            <w:tcW w:type="dxa" w:w="5046"/>
          </w:tcPr>
          <w:p>
            <w:r/>
            <w:r>
              <w:rPr>
                <w:rFonts w:ascii="Arial" w:hAnsi="Arial"/>
                <w:b w:val="0"/>
                <w:sz w:val="16"/>
              </w:rPr>
              <w:t>Зарезервированы</w:t>
            </w:r>
          </w:p>
        </w:tc>
        <w:tc>
          <w:tcPr>
            <w:tcW w:type="dxa" w:w="5046"/>
          </w:tcPr>
          <w:p>
            <w:r/>
            <w:r>
              <w:rPr>
                <w:rFonts w:ascii="Arial" w:hAnsi="Arial"/>
                <w:b w:val="0"/>
                <w:sz w:val="16"/>
              </w:rPr>
            </w:r>
          </w:p>
        </w:tc>
      </w:tr>
      <w:tr>
        <w:tc>
          <w:tcPr>
            <w:tcW w:type="dxa" w:w="5046"/>
          </w:tcPr>
          <w:p>
            <w:r/>
            <w:r>
              <w:rPr>
                <w:rFonts w:ascii="Arial" w:hAnsi="Arial"/>
                <w:b w:val="0"/>
                <w:sz w:val="16"/>
              </w:rPr>
              <w:t>192-254</w:t>
            </w:r>
          </w:p>
        </w:tc>
        <w:tc>
          <w:tcPr>
            <w:tcW w:type="dxa" w:w="5046"/>
          </w:tcPr>
          <w:p>
            <w:r/>
            <w:r>
              <w:rPr>
                <w:rFonts w:ascii="Arial" w:hAnsi="Arial"/>
                <w:b w:val="0"/>
                <w:sz w:val="16"/>
              </w:rPr>
              <w:t>Зарезервированы для местного использования</w:t>
            </w:r>
          </w:p>
        </w:tc>
        <w:tc>
          <w:tcPr>
            <w:tcW w:type="dxa" w:w="5046"/>
          </w:tcPr>
          <w:p>
            <w:r/>
            <w:r>
              <w:rPr>
                <w:rFonts w:ascii="Arial" w:hAnsi="Arial"/>
                <w:b w:val="0"/>
                <w:sz w:val="16"/>
              </w:rPr>
            </w:r>
          </w:p>
        </w:tc>
      </w:tr>
      <w:tr>
        <w:tc>
          <w:tcPr>
            <w:tcW w:type="dxa" w:w="5046"/>
          </w:tcPr>
          <w:p>
            <w:r/>
            <w:r>
              <w:rPr>
                <w:rFonts w:ascii="Arial" w:hAnsi="Arial"/>
                <w:b w:val="0"/>
                <w:sz w:val="16"/>
              </w:rPr>
              <w:t>255</w:t>
            </w:r>
          </w:p>
        </w:tc>
        <w:tc>
          <w:tcPr>
            <w:tcW w:type="dxa" w:w="5046"/>
          </w:tcPr>
          <w:p>
            <w:r/>
            <w:r>
              <w:rPr>
                <w:rFonts w:ascii="Arial" w:hAnsi="Arial"/>
                <w:b w:val="0"/>
                <w:sz w:val="16"/>
              </w:rPr>
              <w:t>Отсутствующее</w:t>
            </w:r>
          </w:p>
        </w:tc>
        <w:tc>
          <w:tcPr>
            <w:tcW w:type="dxa" w:w="5046"/>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