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Номер параметра, согласно дисциплине продукции и категории параметра</w:t>
      </w:r>
    </w:p>
    <w:p>
      <w:pPr>
        <w:jc w:val="center"/>
      </w:pPr>
      <w:r>
        <w:rPr>
          <w:rFonts w:ascii="Arial" w:hAnsi="Arial"/>
          <w:i/>
          <w:sz w:val="18"/>
        </w:rPr>
        <w:t>Дисциплина продукции 0 — Метеорологическая продукция, категория параметра 0: температура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Температура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Виртуальная температура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Потенциальная температура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Псевдоадиабатическая потенциальная температура или эквивалентная потенциальная температура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Максимальная температура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1: Параметр исключен — см. правило 92.6.2 и используйте вместо него другой параметр.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Минимальная температура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1: Параметр исключен — см. правило 92.6.2 и используйте вместо него другой параметр.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Температура точки росы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Понижение (или дефицит) точки росы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Вертикальный градиент температуры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 ⋅ м-1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Аномалия температуры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Суммарный поток скрытого тепла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Вт ⋅ м-2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Суммарный поток теплосодержания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Вт ⋅ м-2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Индекс тепла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Коэффициент охлаждения ветром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Минимальный дефицит точки росы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1: Параметр исключен — см. правило 92.6.2 и используйте вместо него другой параметр.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Виртуальная потенциальная температура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Поток тепла, связанный с изменением фазы снега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Вт ⋅ м-2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Температура поверхностного слоя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Температура снега (поверхность снега)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Коэффициент турбулентного переноса тепла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Числ.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Коэффициент турбулентной диффузии тепла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м2 ⋅ с-1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Эффективная температура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Температурная тенденция, обусловленная коротковолновой радиацией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 ⋅ с-1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Температурная тенденция, обусловленная длинноволновой радиацией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 ⋅ с-1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Температурная тенденция, обусловленная коротковолновой радиацией, при безоблачном небе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 ⋅ с-1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Температурная тенденция, обусловленная длинноволновой радиацией, при безоблачном небе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 ⋅ с-1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Температурная тенденция, обусловленная параметризацией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 ⋅ с-1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Температура по смоченному термометру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Несбалансированная компонента температуры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Адвекция температуры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 ⋅ с-1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30-191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 для местного использования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Отсутствующий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