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Номер параметра, согласно дисциплине продукции и категории параметра</w:t>
      </w:r>
    </w:p>
    <w:p>
      <w:pPr>
        <w:jc w:val="center"/>
      </w:pPr>
      <w:r>
        <w:rPr>
          <w:rFonts w:ascii="Arial" w:hAnsi="Arial"/>
          <w:i/>
          <w:sz w:val="18"/>
        </w:rPr>
        <w:t>Дисциплина продукции 0 — Метеорологическая продукция, категория параметра 14: малые газовые примеси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Units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Общее количество озона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еД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Отношение смеси озона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кг ⋅ кг-1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Общее количество озона, интегрированное по столбу воздуха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еД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3-191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Зарезервированы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Зарезервированы для местного использования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Отсутствующий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