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Номер параметра, согласно дисциплине продукции и категории параметра</w:t>
      </w:r>
    </w:p>
    <w:p>
      <w:pPr>
        <w:jc w:val="center"/>
      </w:pPr>
      <w:r>
        <w:rPr>
          <w:rFonts w:ascii="Arial" w:hAnsi="Arial"/>
          <w:i/>
          <w:sz w:val="18"/>
        </w:rPr>
        <w:t>Дисциплина продукции 0 — Метеорологическая продукция, категория параметра 17: электродинамика</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Плотность разрядов молнии</w:t>
            </w:r>
          </w:p>
        </w:tc>
        <w:tc>
          <w:tcPr>
            <w:tcW w:type="dxa" w:w="3784"/>
          </w:tcPr>
          <w:p>
            <w:r/>
            <w:r>
              <w:rPr>
                <w:rFonts w:ascii="Arial" w:hAnsi="Arial"/>
                <w:b w:val="0"/>
                <w:sz w:val="16"/>
              </w:rPr>
              <w:t>м-2 ⋅ с-1</w:t>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Индекс молниевой активности (LPI)</w:t>
            </w:r>
          </w:p>
        </w:tc>
        <w:tc>
          <w:tcPr>
            <w:tcW w:type="dxa" w:w="3784"/>
          </w:tcPr>
          <w:p>
            <w:r/>
            <w:r>
              <w:rPr>
                <w:rFonts w:ascii="Arial" w:hAnsi="Arial"/>
                <w:b w:val="0"/>
                <w:sz w:val="16"/>
              </w:rPr>
              <w:t>Дж ⋅ кг-1</w:t>
            </w:r>
          </w:p>
        </w:tc>
        <w:tc>
          <w:tcPr>
            <w:tcW w:type="dxa" w:w="3784"/>
          </w:tcPr>
          <w:p>
            <w:r/>
            <w:r>
              <w:rPr>
                <w:rFonts w:ascii="Arial" w:hAnsi="Arial"/>
                <w:b w:val="0"/>
                <w:sz w:val="16"/>
              </w:rPr>
              <w:t>Note 43: Определение LPI по Линн и др.: Lynn, B. and Y. Yair, 2010: Prediction of lightning flash density with the WRF model (Прогнозирование плотности вспышки молнии с помощью модели WRF) Adv. Geosci., 23:11–16; Yair, Y., B. Lynn, C. Price, V. Kotroni, K. Lagouvardos, E. Morin, A. Mugnai and M. Llasat, 2010: Predicting the potential for lightning activity in Mediterranean storms based on the Weather Research and Forecasting (WRF) model dynamic and microphysical fields (Прогнозирование потенциальной молниевой активности средиземноморских штормов на основе динамики и микрофизических полей модели прогнозирования и исследования погоды (WRF)), Journal of Geophysical Research (Журнал геофизических исследований), 115, D04205, doi:10.1029/2008JD010868.</w:t>
            </w:r>
          </w:p>
        </w:tc>
      </w:tr>
      <w:tr>
        <w:tc>
          <w:tcPr>
            <w:tcW w:type="dxa" w:w="3784"/>
          </w:tcPr>
          <w:p>
            <w:r/>
            <w:r>
              <w:rPr>
                <w:rFonts w:ascii="Arial" w:hAnsi="Arial"/>
                <w:b w:val="0"/>
                <w:sz w:val="16"/>
              </w:rPr>
              <w:t>2</w:t>
            </w:r>
          </w:p>
        </w:tc>
        <w:tc>
          <w:tcPr>
            <w:tcW w:type="dxa" w:w="3784"/>
          </w:tcPr>
          <w:p>
            <w:r/>
            <w:r>
              <w:rPr>
                <w:rFonts w:ascii="Arial" w:hAnsi="Arial"/>
                <w:b w:val="0"/>
                <w:sz w:val="16"/>
              </w:rPr>
              <w:t>Плотность разрядов молнии к земле</w:t>
            </w:r>
          </w:p>
        </w:tc>
        <w:tc>
          <w:tcPr>
            <w:tcW w:type="dxa" w:w="3784"/>
          </w:tcPr>
          <w:p>
            <w:r/>
            <w:r>
              <w:rPr>
                <w:rFonts w:ascii="Arial" w:hAnsi="Arial"/>
                <w:b w:val="0"/>
                <w:sz w:val="16"/>
              </w:rPr>
              <w:t>км-2 ⋅ сутки-1</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Плотность разрядов молнии между облаками</w:t>
            </w:r>
          </w:p>
        </w:tc>
        <w:tc>
          <w:tcPr>
            <w:tcW w:type="dxa" w:w="3784"/>
          </w:tcPr>
          <w:p>
            <w:r/>
            <w:r>
              <w:rPr>
                <w:rFonts w:ascii="Arial" w:hAnsi="Arial"/>
                <w:b w:val="0"/>
                <w:sz w:val="16"/>
              </w:rPr>
              <w:t>км-2 ⋅ сутки-1</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Общая плотность разрядов молнии</w:t>
            </w:r>
          </w:p>
        </w:tc>
        <w:tc>
          <w:tcPr>
            <w:tcW w:type="dxa" w:w="3784"/>
          </w:tcPr>
          <w:p>
            <w:r/>
            <w:r>
              <w:rPr>
                <w:rFonts w:ascii="Arial" w:hAnsi="Arial"/>
                <w:b w:val="0"/>
                <w:sz w:val="16"/>
              </w:rPr>
              <w:t>км-2 ⋅ сутки-1</w:t>
            </w:r>
          </w:p>
        </w:tc>
        <w:tc>
          <w:tcPr>
            <w:tcW w:type="dxa" w:w="3784"/>
          </w:tcPr>
          <w:p>
            <w:r/>
            <w:r>
              <w:rPr>
                <w:rFonts w:ascii="Arial" w:hAnsi="Arial"/>
                <w:b w:val="0"/>
                <w:sz w:val="16"/>
              </w:rPr>
              <w:t>Note 104: Суммарная плотность разрядов молнии представляет собой сумму плотности разрядов молнии к земле и разрядов молнии между облаками (см. Lopez, P., 2016: A lightning parameterization for the ECMWF Integrated Forecasting System (Параметризация молнии для комплексной системы прогнозирования ЕЦСПП), Monthly Weather Review, 144, 3057—3075).</w:t>
            </w:r>
          </w:p>
        </w:tc>
      </w:tr>
      <w:tr>
        <w:tc>
          <w:tcPr>
            <w:tcW w:type="dxa" w:w="3784"/>
          </w:tcPr>
          <w:p>
            <w:r/>
            <w:r>
              <w:rPr>
                <w:rFonts w:ascii="Arial" w:hAnsi="Arial"/>
                <w:b w:val="0"/>
                <w:sz w:val="16"/>
              </w:rPr>
              <w:t>6-191</w:t>
            </w:r>
          </w:p>
        </w:tc>
        <w:tc>
          <w:tcPr>
            <w:tcW w:type="dxa" w:w="3784"/>
          </w:tcPr>
          <w:p>
            <w:r/>
            <w:r>
              <w:rPr>
                <w:rFonts w:ascii="Arial" w:hAnsi="Arial"/>
                <w:b w:val="0"/>
                <w:sz w:val="16"/>
              </w:rPr>
              <w:t>Зарезервированы</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Зарезервированы для местного использования</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Отсутствующий</w:t>
            </w:r>
          </w:p>
        </w:tc>
        <w:tc>
          <w:tcPr>
            <w:tcW w:type="dxa" w:w="3784"/>
          </w:tcPr>
          <w:p>
            <w:r/>
            <w:r>
              <w:rPr>
                <w:rFonts w:ascii="Arial" w:hAnsi="Arial"/>
                <w:b w:val="0"/>
                <w:sz w:val="16"/>
              </w:rPr>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