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Номер параметра, согласно дисциплине продукции и категории параметра</w:t>
      </w:r>
    </w:p>
    <w:p>
      <w:pPr>
        <w:jc w:val="center"/>
      </w:pPr>
      <w:r>
        <w:rPr>
          <w:rFonts w:ascii="Arial" w:hAnsi="Arial"/>
          <w:i/>
          <w:sz w:val="18"/>
        </w:rPr>
        <w:t>Дисциплина продукции 0 — Метеорологическая продукция, категория параметра 190: последовательность в МККТТ-МА5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Units</w:t>
            </w:r>
          </w:p>
        </w:tc>
        <w:tc>
          <w:tcPr>
            <w:tcW w:type="dxa" w:w="3784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Произвольная последовательность текста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МККТТ-МА5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1-191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Зарезервированы для местного использования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  <w:t>Отсутствующий</w:t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784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