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sz w:val="22"/>
        </w:rPr>
        <w:t>Номер параметра, согласно дисциплине продукции и категории параметра</w:t>
      </w:r>
    </w:p>
    <w:p>
      <w:pPr>
        <w:jc w:val="center"/>
      </w:pPr>
      <w:r>
        <w:rPr>
          <w:rFonts w:ascii="Arial" w:hAnsi="Arial"/>
          <w:i/>
          <w:sz w:val="18"/>
        </w:rPr>
        <w:t>Дисциплина продукции 10 — Океанографическая продукция, категория параметра 1: течения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784"/>
        <w:gridCol w:w="3784"/>
        <w:gridCol w:w="3784"/>
        <w:gridCol w:w="3784"/>
      </w:tblGrid>
      <w:tr>
        <w:tc>
          <w:tcPr>
            <w:tcW w:type="dxa" w:w="3784"/>
            <w:shd w:val="clear" w:color="auto" w:fill="D9E2F3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CodeFlag</w:t>
            </w:r>
          </w:p>
        </w:tc>
        <w:tc>
          <w:tcPr>
            <w:tcW w:type="dxa" w:w="3784"/>
            <w:shd w:val="clear" w:color="auto" w:fill="D9E2F3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Description</w:t>
            </w:r>
          </w:p>
        </w:tc>
        <w:tc>
          <w:tcPr>
            <w:tcW w:type="dxa" w:w="3784"/>
            <w:shd w:val="clear" w:color="auto" w:fill="D9E2F3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Units</w:t>
            </w:r>
          </w:p>
        </w:tc>
        <w:tc>
          <w:tcPr>
            <w:tcW w:type="dxa" w:w="3784"/>
            <w:shd w:val="clear" w:color="auto" w:fill="D9E2F3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Note</w:t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0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Направление течения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истинные градусы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Скорость течения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м ⋅ с-1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2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Компонента течения u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м ⋅ с-1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3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Компонента течения v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м ⋅ с-1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4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Вероятность возникновения отбойного течения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%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5-191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Зарезервированы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192-254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Зарезервированы для местного использования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255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Отсутствующий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</w:tbl>
    <w:sectPr w:rsidR="00FC693F" w:rsidRPr="0006063C" w:rsidSect="00034616">
      <w:pgSz w:w="16838" w:h="11906" w:orient="landscape"/>
      <w:pgMar w:top="1440" w:right="850" w:bottom="1440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