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Номер параметра, согласно дисциплине продукции и категории параметра</w:t>
      </w:r>
    </w:p>
    <w:p>
      <w:pPr>
        <w:jc w:val="center"/>
      </w:pPr>
      <w:r>
        <w:rPr>
          <w:rFonts w:ascii="Arial" w:hAnsi="Arial"/>
          <w:i/>
          <w:sz w:val="18"/>
        </w:rPr>
        <w:t>Дисциплина продукции 3 — Космическая продукция, категория параметра 3: условия, связанные с правилами полета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Вероятность возникновения предельных условий для правил визуальных полетов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Вероятность возникновения условий для правил полетов по приборам на малых высотах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Вероятность возникновения условий для правил полетов по приборам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Отсутствующий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