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Вычисленный прогноз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Невзвешенные средние значения всех членов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Взвешенные средние значения всех членов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Стандартное отклонение по отношению к среднему для кластера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Нормализованное стандартное отклонение по отношению к среднему для кластера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Разброс всех членов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Индекс значительной аномалии всех членов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67: Индекс значительной аномалии определяется как {(количество членов, аномалия которых больше 0,5 х SD) — (количество членов, аномалия которых менее –0,5 х SD)} / (количество членов) в каждом узле сетки, где SD определяется как наблюдаемое климатологическое стандартное отклонение.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Невзвешенное среднее значение членов кластера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Интерквартильный диапазон (диапазон между 25-м и 75-м квантилем)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Минимум всех ансамблевых членов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63: Следует отметить, что ссылка на «минимум всех ансамблевых членов» и «максимум всех ансамблевых членов» представляет набор ансамблевых членов, а не временной интервал, и не должна быть спутана с максимумом и минимумом, описываемыми ООП 4.8.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Максимум всех ансамблевых членов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63: Следует отметить, что ссылка на «минимум всех ансамблевых членов» и «максимум всех ансамблевых членов» представляет набор ансамблевых членов, а не временной интервал, и не должна быть спутана с максимумом и минимумом, описываемыми ООП 4.8.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