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вероятности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ниже нижнего предела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выше верхнего предела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между нижним и верхним пределами, данный диапазон включает нижний предел, но не включает верхний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выше нижнего предела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ниже верхнего предела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равна нижнему пределу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категории «выше нормы»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7: «Выше нормы», «около нормы» и «ниже нормы» определяются как три равновероятные категории на основе клима- тологии в каждой точке географического района, охваченного сеткой. Тип и методология справочной климатологии не уточняются и должны документироваться одновременно поставщиком данных. | Note 9: Образцы определения продукции, использующие кодовую таблицу 4.9, могут содержать октеты для хранения значе- ний нижнего и верхнего пределов. При использовании категорийной вероятности (например, «ниже нормы», «около нормы» и «выше нормы»), данные октеты должны быть установлены на все единицы (отсутствующее значение).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категории «около нормы»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7: «Выше нормы», «около нормы» и «ниже нормы» определяются как три равновероятные категории на основе клима- тологии в каждой точке географического района, охваченного сеткой. Тип и методология справочной климатологии не уточняются и должны документироваться одновременно поставщиком данных. | Note 9: Образцы определения продукции, использующие кодовую таблицу 4.9, могут содержать октеты для хранения значе- ний нижнего и верхнего пределов. При использовании категорийной вероятности (например, «ниже нормы», «около нормы» и «выше нормы»), данные октеты должны быть установлены на все единицы (отсутствующее значение).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события категории «ниже нормы»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7: «Выше нормы», «около нормы» и «ниже нормы» определяются как три равновероятные категории на основе клима- тологии в каждой точке географического района, охваченного сеткой. Тип и методология справочной климатологии не уточняются и должны документироваться одновременно поставщиком данных. | Note 9: Образцы определения продукции, использующие кодовую таблицу 4.9, могут содержать октеты для хранения значе- ний нижнего и верхнего пределов. При использовании категорийной вероятности (например, «ниже нормы», «около нормы» и «выше нормы»), данные октеты должны быть установлены на все единицы (отсутствующее значение).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