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3.40 — широтно-долготная по Гауссу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Форма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 — количество узлов вдоль параллели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Nj — количество узлов вдоль меридиана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Основной угол начальной продукционной области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Подразделения основного угла, используемые для определения экстремальных долгот и широт и приращений по направлениям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— широта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— долгота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Флаги разрешения и компонентов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таблицу флагов 3.3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La2 — широта последнего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Lo2 — долгота последнего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 — приращение в направлении i (см. примечания 1 и 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68-71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число параллелей между полюсом и экватором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87: Количество параллелей между полюсом и экватором используется для обозначения изменяемого (по Гауссу) рассто-</w:t>
              <w:br/>
              <w:t>яния между параллелями; это значение всегда следует указывать.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Режим сканирования (флаги — см. таблицу флагов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Перечень количества узлов вдоль каждой меридианы или параллели (эти октеты имеются только для квазирегулярных сеток, описанных в примечании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