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4.30 — спутниковая продукция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наблюдений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участвующих спектральных полос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Повторить следующие 10 октетов для каждой участвующей полосы (nb = 1, 0 01 007 (общая кодовая таблица C-5) и 0 02 019 (общая кодовая таблица C-8), соответственно.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NB) (15+10(nb–1))–(16+10(nb–1)) Спутниковая серия полосы nb (кодовая таблица определяется центром — поставщиком/производителем продукции) (17+10(nb–1))–(18+10(nb–1)) Спутниковые номера полосы nb (кодовая таблица определяется центром —поставщиком/производителем продукции) (19+10(nb–1)) Типы приборов полосы nb (кодовая таблица определяется центром — поставщиком/производителем продукции) (20+10(nb–1)) Масштабный коэффициент центрального волнового числа полосы nb (21+10(nb–1))–(24+10(nb–1)) Масштабированная величина центрального волнового числа полосы nb (единица измерения: м-1) Примечание. Для «спутниковых серий полосы nb»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