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4.31 — спутниковая продукция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наблюдений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участвующих спектральных полос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Повторить следующие 11 октетов для каждой участвующей полосы (nb = 1, 0 01 007 (общая кодовая таблица C-5) и 0 02 019 (общая кодовая таблица C-8), соответственно.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NB) (15+11(nb–1))–(16+11(nb–1)) Спутниковая серия полосы nb (кодовая таблица определяется центром — поставщиком/производителем продукции) (17+11(nb–1))–(18+11(nb–1)) Спутниковые номера полосы nb (кодовая таблица определяется центром — поставщиком/производителем продукции) (19+11(nb–1))–(20+11(nb–1)) Типы приборов полосы nb (кодовая таблица определяется центром — поставщиком/производителем продукции) (21+11(nb–1)) Масштабный коэффициент центрального волнового числа полосы nb (22+11(nb–1))–(25+11(nb–1)) Масштабированная величина центрального волнового числа полосы nb (единица измерения: м-1) Примечание. Для «спутниковых серий полосы nb»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