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4.32 — анализ или прогноз по горизонтальному уровню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участвующих спектральных полос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11 октетов для каждой участвующей спектральной полосы (nb = 1, NB) (24+11(nb–1))–(25+11(nb–1)) Спутниковая серия полосы nb (кодовая таблица определяется центром — поставщиком/производителем продукции) (26+11(nb–1))–(27+11(nb–1)) Спутниковый номер полосы nb (кодовая таблица определяется центром — поставщиком/производителем продукции) (28+11(nb–1))–(29+11(nb–1)) Типы приборов полосы nb (кодовая таблица определяется центром — поставщиком/производителем продукции) (30+11(nb–1)) Масштабный коэффициент центрального волнового числа полосы nb (31+11(nb–1))–(34+11(nb–1)) Масштабированная величина центрального волнового числа полосы nb (единицы измерения: м-1)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