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4.33 — индивидуальный прогноз по ансамблю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участвующих спектральных полос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11 октетов для каждой участвующей полосы (nb = 1, NB) (24+11(nb–1))–(25+11(nb–1)) Спутниковая серия полосы nb (кодовая таблица определяется центром — поставщиком/производителем продукции) (26+11(nb–1))–(27+11(nb–1)) Спутниковый номер полосы nb (кодовая таблица определяется центром — поставщиком/производителем продукции) (28+11(nb–1))–(29+11(nb–1)) Типы приборов полосы nb (кодовая таблица определяется центром — поставщиком/производителем продукции) (30+11(nb–1)) Масштабный коэффициент центрального волнового числа полосы nb (31+11(nb–1))–(34+11(nb–1)) Масштабированная величина центрального волнового числа полосы nb (единицы измерения: м-1) (24+11NB) Тип ансамблевого прогноза (см. кодовую таблицу 4.6) (24+11NB+1) Номер возмущения (24+11NB+2) 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