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4.34 — индивидуальный ансамблевый прогноз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участвующих спектральных полос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Повторить следующие 11 октетов для каждой участвующей полосы (nb = 1, NB) (24+11(nb–1))–(25+11(nb–1)) Спутниковая серия полосы nb (кодовая таблица определяется центром — поставщиком/производителем продукции) (26+11(nb–1))–(27+11(nb–1)) Спутниковый номер полосы nb (кодовая таблица определяется центром — поставщиком/производителем продукции) (28+11(nb–1))–(29+11(nb–1)) Типы приборов полосы nb (кодовая таблица определяется центром — поставщиком/производителем продукции) (30+11(nb–1)) Масштабный коэффициент центрального волнового числа полосы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